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076359" w14:textId="023FA12C">
      <w:pPr>
        <w:jc w:val="center"/>
        <w:rPr>
          <w:b/>
          <w:sz w:val="23"/>
        </w:rPr>
        <w:pStyle w:val="P68B1DB1-Normal1"/>
      </w:pPr>
      <w:r>
        <w:t xml:space="preserve">ПРИЛОЖЕНИЕ 6: ОБРАЗЕЦ ЗА СПОРАЗУМЕНИЕ МЕЖДУ БЕНЕФИЦИЕРИТЕ И УЧАСТНИЦИТЕ</w:t>
      </w:r>
    </w:p>
    <w:p w14:paraId="60346887" w14:textId="374DDC34">
      <w:pPr>
        <w:jc w:val="center"/>
        <w:rPr>
          <w:b/>
          <w:sz w:val="23"/>
        </w:rPr>
      </w:pPr>
    </w:p>
    <w:p w14:paraId="10E14C96" w14:textId="2C902584">
      <w:pPr>
        <w:spacing w:after="120"/>
        <w:jc w:val="center"/>
        <w:rPr>
          <w:b/>
          <w:sz w:val="23"/>
        </w:rPr>
        <w:pStyle w:val="P68B1DB1-Normal1"/>
      </w:pPr>
      <w:r>
        <w:t xml:space="preserve">СПОРАЗУМЕНИЕ — „ЕРАЗЪМ+“ — МОБИЛНОСТ НА ФИЗИЧЕСКИТЕ ЛИЦА</w:t>
      </w:r>
    </w:p>
    <w:p w14:paraId="17C4C4B7" w14:textId="1D395F04">
      <w:pPr>
        <w:spacing w:after="360"/>
        <w:jc w:val="center"/>
        <w:rPr>
          <w:b/>
          <w:sz w:val="24"/>
          <w:highlight w:val="cyan"/>
        </w:rPr>
        <w:pStyle w:val="P68B1DB1-Normal2"/>
      </w:pPr>
      <w:r>
        <w:t xml:space="preserve">Код на проекта: </w:t>
      </w:r>
      <w:r>
        <w:rPr>
          <w:highlight w:val="lightGray"/>
        </w:rPr>
        <w:t>[YYYY-R-NA00-KA000-FFF-000000000]</w:t>
      </w:r>
    </w:p>
    <w:p w14:paraId="4D694BE6" w14:textId="30F5F663">
      <w:pPr>
        <w:spacing w:after="120"/>
        <w:jc w:val="both"/>
        <w:rPr>
          <w:sz w:val="24"/>
          <w:highlight w:val="yellow"/>
        </w:rPr>
        <w:pStyle w:val="BodyText"/>
      </w:pPr>
      <w:r>
        <w:rPr>
          <w:highlight w:val="yellow"/>
        </w:rPr>
        <w:t xml:space="preserve">[Настоящият образец е приложим за отделни учащи се и дейности за мобилност на персонал в областта на училищното образование, образованието за възрастни и професионалното образование и обучение. Текстът в жълто е ръководство за използване на настоящия образец на споразумение за отпускане на безвъзмездни средства. Моля, премахнете този текст, след като документът е завършен. Полето в сиво следва да се замени със съответната информация за всеки отделен случай. Вариантите [</w:t>
      </w:r>
      <w:r>
        <w:rPr>
          <w:i/>
          <w:highlight w:val="green"/>
        </w:rPr>
        <w:t xml:space="preserve">в зелени квадратни скоби</w:t>
      </w:r>
      <w:r>
        <w:rPr>
          <w:highlight w:val="yellow"/>
        </w:rPr>
        <w:t xml:space="preserve">] означават, че приложимият вариант трябва да бъде избран, а не избраните варианти следва да бъдат заличени.</w:t>
      </w:r>
    </w:p>
    <w:p w14:paraId="666252B0" w14:textId="45A2AC8F">
      <w:pPr>
        <w:spacing w:after="120"/>
        <w:jc w:val="both"/>
        <w:rPr>
          <w:sz w:val="24"/>
          <w:highlight w:val="yellow"/>
        </w:rPr>
        <w:pStyle w:val="P68B1DB1-Normal3"/>
      </w:pPr>
      <w:r>
        <w:t xml:space="preserve">Съдържанието на образеца определя минимални изисквания и като такива те не следва да се заличават. Този образец може да бъде допълнен от НА или от бенефициера]</w:t>
      </w:r>
    </w:p>
    <w:p w14:paraId="07916CD1" w14:textId="4FC9F87A">
      <w:pPr>
        <w:spacing w:after="120"/>
        <w:jc w:val="both"/>
        <w:rPr>
          <w:sz w:val="24"/>
          <w:highlight w:val="yellow"/>
        </w:rPr>
      </w:pPr>
    </w:p>
    <w:p w14:paraId="1A702394" w14:textId="198BF6E9">
      <w:pPr>
        <w:spacing w:after="120"/>
        <w:rPr>
          <w:sz w:val="24"/>
        </w:rPr>
        <w:pStyle w:val="P68B1DB1-Normal2"/>
      </w:pPr>
      <w:r>
        <w:t xml:space="preserve">Поле: </w:t>
      </w:r>
      <w:r>
        <w:rPr>
          <w:highlight w:val="lightGray"/>
        </w:rPr>
        <w:t xml:space="preserve">[Училищно образование/Професионално образование и обучение/Обучение за възрастни]</w:t>
      </w:r>
    </w:p>
    <w:p w14:paraId="31C71F36" w14:textId="77777777">
      <w:pPr>
        <w:spacing w:after="120"/>
        <w:rPr>
          <w:sz w:val="24"/>
        </w:rPr>
        <w:pStyle w:val="P68B1DB1-Normal2"/>
      </w:pPr>
      <w:r>
        <w:t xml:space="preserve">Вид дейност: </w:t>
      </w:r>
      <w:r>
        <w:rPr>
          <w:highlight w:val="lightGray"/>
        </w:rPr>
        <w:t xml:space="preserve">[използвайте класификацията на видовете дейности от ръководството за програмата „Еразъм+„, напр. „Job-shadowing“]</w:t>
      </w:r>
    </w:p>
    <w:p w14:paraId="067E625A" w14:textId="3DFDA872">
      <w:pPr>
        <w:spacing w:after="120"/>
        <w:rPr>
          <w:sz w:val="24"/>
        </w:rPr>
        <w:pStyle w:val="P68B1DB1-Normal2"/>
      </w:pPr>
      <w:r>
        <w:t xml:space="preserve">Идентификационен номер на мобилността по програма „Еразъм+“: </w:t>
      </w:r>
      <w:r>
        <w:rPr>
          <w:highlight w:val="lightGray"/>
        </w:rPr>
        <w:t xml:space="preserve">[ако има такива — или няма данни]</w:t>
      </w:r>
    </w:p>
    <w:p w14:paraId="298BFAB3" w14:textId="77777777">
      <w:pPr>
        <w:spacing w:after="120"/>
        <w:rPr>
          <w:sz w:val="24"/>
        </w:rPr>
      </w:pPr>
    </w:p>
    <w:p w14:paraId="4D59B555" w14:textId="14180C41">
      <w:pPr>
        <w:pStyle w:val="P68B1DB1-Heading64"/>
        <w:keepNext/>
        <w:keepLines/>
        <w:numPr>
          <w:ilvl w:val="0"/>
          <w:numId w:val="0"/>
        </w:numPr>
        <w:spacing w:before="0" w:after="200"/>
        <w:jc w:val="left"/>
        <w:rPr>
          <w:rFonts w:ascii="Times New Roman Bold" w:hAnsi="Times New Roman Bold" w:cstheme="majorBidi" w:eastAsiaTheme="majorEastAsia"/>
          <w:b/>
          <w:i w:val="0"/>
          <w:caps/>
          <w:snapToGrid/>
          <w:sz w:val="24"/>
          <w:u w:val="single"/>
        </w:rPr>
      </w:pPr>
      <w:r>
        <w:t xml:space="preserve">ПРЕАМБЮЛ </w:t>
      </w:r>
    </w:p>
    <w:p w14:paraId="4B0EE81A" w14:textId="77777777">
      <w:pPr>
        <w:pStyle w:val="P68B1DB1-Default5"/>
        <w:spacing w:after="120"/>
        <w:rPr>
          <w:sz w:val="23"/>
        </w:rPr>
      </w:pPr>
      <w:r>
        <w:t xml:space="preserve">Настоящото </w:t>
      </w:r>
      <w:r>
        <w:rPr>
          <w:b/>
        </w:rPr>
        <w:t xml:space="preserve">споразумение </w:t>
      </w:r>
      <w:r>
        <w:t xml:space="preserve">(„споразумението“) е </w:t>
      </w:r>
      <w:r>
        <w:rPr>
          <w:b/>
        </w:rPr>
        <w:t xml:space="preserve">между </w:t>
      </w:r>
      <w:r>
        <w:t xml:space="preserve">следните страни: </w:t>
      </w:r>
    </w:p>
    <w:p w14:paraId="15EB0770" w14:textId="19EB9B73">
      <w:pPr>
        <w:spacing w:after="120"/>
        <w:jc w:val="both"/>
        <w:rPr>
          <w:b/>
          <w:sz w:val="23"/>
        </w:rPr>
        <w:pStyle w:val="P68B1DB1-Normal1"/>
      </w:pPr>
      <w:r>
        <w:t xml:space="preserve">от една страна,</w:t>
      </w:r>
    </w:p>
    <w:p w14:paraId="7EB747B1" w14:textId="2937F041">
      <w:pPr>
        <w:pStyle w:val="P68B1DB1-Default5"/>
        <w:spacing w:after="120"/>
      </w:pPr>
      <w:r>
        <w:rPr>
          <w:b/>
        </w:rPr>
        <w:t xml:space="preserve">организацията </w:t>
      </w:r>
      <w:r>
        <w:t>(„организацията“),</w:t>
      </w:r>
    </w:p>
    <w:p w14:paraId="2131E8CF" w14:textId="13E4ADC5">
      <w:pPr>
        <w:spacing w:after="120"/>
        <w:rPr>
          <w:sz w:val="24"/>
          <w:highlight w:val="lightGray"/>
        </w:rPr>
        <w:pStyle w:val="P68B1DB1-Normal2"/>
      </w:pPr>
      <w:r>
        <w:t>[</w:t>
      </w:r>
      <w:r>
        <w:rPr>
          <w:highlight w:val="lightGray"/>
        </w:rPr>
        <w:t xml:space="preserve">пълно официално наименование на изпращащата организация</w:t>
      </w:r>
      <w:r>
        <w:t>]</w:t>
      </w:r>
    </w:p>
    <w:p w14:paraId="78CBCDE8" w14:textId="4E029989">
      <w:pPr>
        <w:spacing w:after="120"/>
        <w:rPr>
          <w:sz w:val="24"/>
        </w:rPr>
        <w:pStyle w:val="P68B1DB1-Normal2"/>
      </w:pPr>
      <w:r>
        <w:t>[</w:t>
      </w:r>
      <w:r>
        <w:rPr>
          <w:highlight w:val="lightGray"/>
        </w:rPr>
        <w:t xml:space="preserve">официална правна форма</w:t>
      </w:r>
      <w:r>
        <w:t xml:space="preserve">] </w:t>
      </w:r>
    </w:p>
    <w:p w14:paraId="3DA73DEF" w14:textId="12A4837A">
      <w:pPr>
        <w:spacing w:after="120"/>
        <w:rPr>
          <w:sz w:val="24"/>
        </w:rPr>
        <w:pStyle w:val="P68B1DB1-Normal2"/>
      </w:pPr>
      <w:r>
        <w:t>[</w:t>
      </w:r>
      <w:r>
        <w:rPr>
          <w:highlight w:val="lightGray"/>
        </w:rPr>
        <w:t xml:space="preserve">официална регистрация №</w:t>
      </w:r>
      <w:r>
        <w:t xml:space="preserve">] </w:t>
      </w:r>
    </w:p>
    <w:p w14:paraId="53FFCF04" w14:textId="347D64F1">
      <w:pPr>
        <w:spacing w:after="120"/>
        <w:rPr>
          <w:sz w:val="24"/>
        </w:rPr>
        <w:pStyle w:val="P68B1DB1-Normal2"/>
      </w:pPr>
      <w:r>
        <w:t>[</w:t>
      </w:r>
      <w:r>
        <w:rPr>
          <w:highlight w:val="lightGray"/>
        </w:rPr>
        <w:t xml:space="preserve">пълен официален адрес</w:t>
      </w:r>
      <w:r>
        <w:t xml:space="preserve">] </w:t>
      </w:r>
    </w:p>
    <w:p w14:paraId="20A401F7" w14:textId="36DE8EC2">
      <w:pPr>
        <w:spacing w:after="120"/>
        <w:rPr>
          <w:sz w:val="24"/>
        </w:rPr>
        <w:pStyle w:val="P68B1DB1-Normal2"/>
      </w:pPr>
      <w:r>
        <w:t>[</w:t>
      </w:r>
      <w:r>
        <w:rPr>
          <w:highlight w:val="lightGray"/>
        </w:rPr>
        <w:t xml:space="preserve">Електронна поща</w:t>
      </w:r>
      <w:r>
        <w:t>]</w:t>
      </w:r>
    </w:p>
    <w:p w14:paraId="542C6B43" w14:textId="4550B8F1">
      <w:pPr>
        <w:spacing w:after="120"/>
        <w:rPr>
          <w:sz w:val="24"/>
        </w:rPr>
        <w:pStyle w:val="P68B1DB1-Normal2"/>
      </w:pPr>
      <w:r>
        <w:t>[</w:t>
      </w:r>
      <w:r>
        <w:rPr>
          <w:highlight w:val="lightGray"/>
        </w:rPr>
        <w:t>OID</w:t>
      </w:r>
      <w:r>
        <w:t>],</w:t>
      </w:r>
    </w:p>
    <w:p w14:paraId="4256B284" w14:textId="58A16132">
      <w:pPr>
        <w:spacing w:after="120"/>
        <w:jc w:val="both"/>
        <w:rPr>
          <w:sz w:val="24"/>
        </w:rPr>
        <w:pStyle w:val="BodyText"/>
      </w:pPr>
      <w:r>
        <w:t xml:space="preserve">представляван за целите на подписването на настоящото споразумение от [</w:t>
      </w:r>
      <w:r>
        <w:rPr>
          <w:highlight w:val="lightGray"/>
        </w:rPr>
        <w:t xml:space="preserve">собствено и фамилно име, длъжност</w:t>
      </w:r>
      <w:r>
        <w:t xml:space="preserve">] </w:t>
      </w:r>
    </w:p>
    <w:p w14:paraId="4E08BF23" w14:textId="307BC1B3">
      <w:pPr>
        <w:spacing w:after="120"/>
        <w:jc w:val="both"/>
        <w:rPr>
          <w:b/>
          <w:sz w:val="24"/>
        </w:rPr>
        <w:pStyle w:val="P68B1DB1-Normal6"/>
      </w:pPr>
      <w:r>
        <w:t>и</w:t>
      </w:r>
    </w:p>
    <w:p w14:paraId="16628C9A" w14:textId="62AD06E2">
      <w:pPr>
        <w:spacing w:after="120"/>
        <w:jc w:val="both"/>
        <w:rPr>
          <w:b/>
          <w:sz w:val="24"/>
        </w:rPr>
        <w:pStyle w:val="P68B1DB1-Normal6"/>
      </w:pPr>
      <w:r>
        <w:t xml:space="preserve">от друга страна,</w:t>
      </w:r>
    </w:p>
    <w:p w14:paraId="22EDEC03" w14:textId="14CA00AB">
      <w:pPr>
        <w:spacing w:after="120"/>
        <w:jc w:val="both"/>
        <w:rPr>
          <w:b/>
          <w:sz w:val="24"/>
        </w:rPr>
        <w:pStyle w:val="BodyText"/>
      </w:pPr>
      <w:r>
        <w:rPr>
          <w:b/>
        </w:rPr>
        <w:t>„участникът“</w:t>
      </w:r>
    </w:p>
    <w:p w14:paraId="5D450FD0" w14:textId="6245DC4D">
      <w:pPr>
        <w:spacing w:after="120"/>
        <w:rPr>
          <w:sz w:val="24"/>
        </w:rPr>
        <w:pStyle w:val="P68B1DB1-Normal2"/>
      </w:pPr>
      <w:r>
        <w:t>[</w:t>
      </w:r>
      <w:r>
        <w:rPr>
          <w:highlight w:val="lightGray"/>
        </w:rPr>
        <w:t xml:space="preserve">собствено и фамилно име</w:t>
      </w:r>
      <w:r>
        <w:t>]</w:t>
      </w:r>
    </w:p>
    <w:p w14:paraId="3D7C92B4" w14:textId="77777777">
      <w:pPr>
        <w:spacing w:after="120"/>
        <w:rPr>
          <w:sz w:val="24"/>
        </w:rPr>
        <w:pStyle w:val="P68B1DB1-Normal2"/>
      </w:pPr>
      <w:r>
        <w:t xml:space="preserve">Дата на раждане:</w:t>
        <w:tab/>
      </w:r>
    </w:p>
    <w:p w14:paraId="6F14CBB2" w14:textId="77777777">
      <w:pPr>
        <w:spacing w:after="120"/>
        <w:rPr>
          <w:sz w:val="24"/>
        </w:rPr>
        <w:pStyle w:val="P68B1DB1-Normal2"/>
      </w:pPr>
      <w:r>
        <w:t xml:space="preserve">Адрес: [</w:t>
      </w:r>
      <w:r>
        <w:rPr>
          <w:highlight w:val="lightGray"/>
        </w:rPr>
        <w:t xml:space="preserve">пълен официален адрес</w:t>
      </w:r>
      <w:r>
        <w:t>]</w:t>
      </w:r>
    </w:p>
    <w:p w14:paraId="0BD7505F" w14:textId="77777777">
      <w:pPr>
        <w:spacing w:after="120"/>
        <w:rPr>
          <w:sz w:val="24"/>
        </w:rPr>
        <w:pStyle w:val="P68B1DB1-Normal2"/>
      </w:pPr>
      <w:r>
        <w:t>Телефон:</w:t>
        <w:tab/>
        <w:tab/>
        <w:tab/>
        <w:tab/>
        <w:tab/>
      </w:r>
    </w:p>
    <w:p w14:paraId="5E3304C8" w14:textId="77777777">
      <w:pPr>
        <w:spacing w:after="120"/>
        <w:rPr>
          <w:sz w:val="24"/>
        </w:rPr>
        <w:pStyle w:val="P68B1DB1-Normal2"/>
      </w:pPr>
      <w:r>
        <w:t xml:space="preserve">Електронна поща:</w:t>
      </w:r>
    </w:p>
    <w:p w14:paraId="664B564E" w14:textId="11E86B46">
      <w:pPr>
        <w:spacing w:after="120"/>
        <w:jc w:val="both"/>
        <w:rPr>
          <w:sz w:val="24"/>
        </w:rPr>
        <w:pStyle w:val="P68B1DB1-Normal7"/>
      </w:pPr>
      <w:r>
        <w:t xml:space="preserve">[Вариант за участници, получаващи финансова подкрепа от „Еразъм+“, с изключение на тези, за които член 3.4. Вариант 2 се прилага:</w:t>
      </w:r>
    </w:p>
    <w:p w14:paraId="733ACC85" w14:textId="77777777">
      <w:pPr>
        <w:spacing w:after="120"/>
        <w:rPr>
          <w:sz w:val="24"/>
        </w:rPr>
        <w:pStyle w:val="P68B1DB1-Normal2"/>
      </w:pPr>
      <w:r>
        <w:t xml:space="preserve">Банкова сметка, в която следва да бъде изплатена финансовата подкрепа:</w:t>
      </w:r>
    </w:p>
    <w:p w14:paraId="31C4F085" w14:textId="77777777">
      <w:pPr>
        <w:spacing w:after="120"/>
        <w:rPr>
          <w:sz w:val="24"/>
        </w:rPr>
        <w:pStyle w:val="P68B1DB1-Normal2"/>
      </w:pPr>
      <w:r>
        <w:t xml:space="preserve">Титуляр на банкова сметка: </w:t>
      </w:r>
    </w:p>
    <w:p w14:paraId="6B4BEEDD" w14:textId="77777777">
      <w:pPr>
        <w:spacing w:after="120"/>
        <w:rPr>
          <w:sz w:val="24"/>
        </w:rPr>
        <w:pStyle w:val="P68B1DB1-Normal2"/>
      </w:pPr>
      <w:r>
        <w:t xml:space="preserve">Име на банката: </w:t>
      </w:r>
    </w:p>
    <w:p w14:paraId="5B17783D" w14:textId="77777777">
      <w:pPr>
        <w:spacing w:after="120"/>
        <w:rPr>
          <w:sz w:val="24"/>
        </w:rPr>
        <w:pStyle w:val="P68B1DB1-Normal2"/>
      </w:pPr>
      <w:r>
        <w:t xml:space="preserve">Клиринг/BIC/SWIFT номер: </w:t>
        <w:tab/>
        <w:tab/>
        <w:tab/>
      </w:r>
    </w:p>
    <w:p w14:paraId="2E6CA1FD" w14:textId="10712BF6">
      <w:pPr>
        <w:spacing w:after="120"/>
        <w:rPr>
          <w:i/>
          <w:color w:val="4AA55B"/>
          <w:sz w:val="24"/>
        </w:rPr>
        <w:pStyle w:val="P68B1DB1-Normal2"/>
      </w:pPr>
      <w:r>
        <w:t xml:space="preserve">Номер на сметката/IBAN:</w:t>
      </w:r>
      <w:r>
        <w:rPr>
          <w:i/>
          <w:color w:val="4AA55B"/>
        </w:rPr>
        <w:t>]</w:t>
      </w:r>
    </w:p>
    <w:p w14:paraId="60B02C3F" w14:textId="77777777">
      <w:pPr>
        <w:spacing w:after="120"/>
        <w:rPr>
          <w:sz w:val="24"/>
        </w:rPr>
      </w:pPr>
    </w:p>
    <w:p w14:paraId="17651A6F" w14:textId="70C7B9E7">
      <w:pPr>
        <w:spacing w:after="120"/>
        <w:jc w:val="both"/>
        <w:rPr>
          <w:sz w:val="24"/>
        </w:rPr>
        <w:pStyle w:val="BodyText"/>
      </w:pPr>
      <w:r>
        <w:t xml:space="preserve">Страните, посочени по-горе, се споразумяха да сключат настоящото споразумение. </w:t>
      </w:r>
    </w:p>
    <w:p w14:paraId="3933BC7E" w14:textId="5AEC7B05">
      <w:pPr>
        <w:spacing w:after="120"/>
        <w:jc w:val="both"/>
        <w:rPr>
          <w:sz w:val="24"/>
        </w:rPr>
        <w:pStyle w:val="BodyText"/>
      </w:pPr>
      <w:r>
        <w:t xml:space="preserve">Споразумението се състои от:</w:t>
      </w:r>
    </w:p>
    <w:p w14:paraId="3D38473B" w14:textId="1342D46A">
      <w:pPr>
        <w:spacing w:after="120"/>
        <w:ind w:firstLine="720"/>
        <w:jc w:val="both"/>
        <w:rPr>
          <w:sz w:val="24"/>
        </w:rPr>
        <w:pStyle w:val="BodyText"/>
      </w:pPr>
      <w:r>
        <w:t xml:space="preserve">Общи условия</w:t>
      </w:r>
    </w:p>
    <w:p w14:paraId="4945C6F5" w14:textId="62D8A700">
      <w:pPr>
        <w:spacing w:after="120"/>
        <w:rPr>
          <w:sz w:val="24"/>
        </w:rPr>
        <w:pStyle w:val="P68B1DB1-Normal2"/>
      </w:pPr>
      <w:r>
        <w:tab/>
        <w:t xml:space="preserve">Приложение: Споразумение за обучение по програма „Еразъм+“</w:t>
        <w:footnoteReference w:id="2"/>
      </w:r>
    </w:p>
    <w:p w14:paraId="2D935EBE" w14:textId="6BDD2FE2">
      <w:pPr>
        <w:jc w:val="both"/>
        <w:rPr>
          <w:sz w:val="24"/>
        </w:rPr>
        <w:pStyle w:val="BodyText"/>
      </w:pPr>
      <w:r>
        <w:t xml:space="preserve">Условията, посочени в Общите условия, ще имат предимство пред тези, посочени в приложението. </w:t>
      </w:r>
    </w:p>
    <w:p w14:paraId="09A671D3" w14:textId="77777777">
      <w:pPr>
        <w:jc w:val="both"/>
        <w:rPr>
          <w:sz w:val="24"/>
          <w:highlight w:val="cyan"/>
        </w:rPr>
      </w:pPr>
    </w:p>
    <w:p w14:paraId="50CCB9AC" w14:textId="42EFD716">
      <w:pPr>
        <w:jc w:val="both"/>
        <w:rPr>
          <w:sz w:val="24"/>
          <w:highlight w:val="cyan"/>
        </w:rPr>
      </w:pPr>
    </w:p>
    <w:p w14:paraId="400AA1B5" w14:textId="10384E09">
      <w:pPr>
        <w:pStyle w:val="P68B1DB1-Heading64"/>
        <w:keepNext/>
        <w:keepLines/>
        <w:numPr>
          <w:ilvl w:val="0"/>
          <w:numId w:val="0"/>
        </w:numPr>
        <w:spacing w:before="0" w:after="200"/>
        <w:jc w:val="center"/>
        <w:rPr>
          <w:rFonts w:ascii="Times New Roman Bold" w:hAnsi="Times New Roman Bold" w:cstheme="majorBidi" w:eastAsiaTheme="majorEastAsia"/>
          <w:b/>
          <w:i w:val="0"/>
          <w:caps/>
          <w:snapToGrid/>
          <w:sz w:val="24"/>
          <w:u w:val="single"/>
        </w:rPr>
      </w:pPr>
      <w:r>
        <w:t xml:space="preserve">ОБЩИ УСЛОВИЯ</w:t>
      </w:r>
    </w:p>
    <w:p w14:paraId="5B166BF6" w14:textId="77777777">
      <w:pPr>
        <w:rPr>
          <w:rFonts w:eastAsiaTheme="majorEastAsia"/>
        </w:rPr>
      </w:pPr>
    </w:p>
    <w:p w14:paraId="147AD750" w14:textId="02524706">
      <w:pPr>
        <w:pStyle w:val="P68B1DB1-Heading48"/>
        <w:keepLines/>
        <w:spacing w:after="200"/>
        <w:rPr>
          <w:b/>
          <w:caps/>
          <w:snapToGrid/>
        </w:rPr>
      </w:pPr>
      <w:r>
        <w:t xml:space="preserve">ЧЛЕН 1 — ПРЕДМЕТ НА СПОРАЗУМЕНИЕТО </w:t>
      </w:r>
    </w:p>
    <w:p w14:paraId="77B1B651" w14:textId="3F948701">
      <w:pPr>
        <w:pStyle w:val="P68B1DB1-ListParagraph9"/>
        <w:numPr>
          <w:ilvl w:val="1"/>
          <w:numId w:val="19"/>
        </w:numPr>
        <w:jc w:val="both"/>
        <w:rPr>
          <w:sz w:val="24"/>
        </w:rPr>
      </w:pPr>
      <w:r>
        <w:t xml:space="preserve">В настоящото споразумение се определят правата и задълженията, както и редът и условията, приложими за финансовата подкрепа, предоставена за извършване на дейност за мобилност по програма „Еразъм+“.</w:t>
      </w:r>
    </w:p>
    <w:p w14:paraId="7E93F731" w14:textId="10B3CF8D">
      <w:pPr>
        <w:pStyle w:val="P68B1DB1-ListParagraph9"/>
        <w:numPr>
          <w:ilvl w:val="1"/>
          <w:numId w:val="19"/>
        </w:numPr>
        <w:jc w:val="both"/>
        <w:rPr>
          <w:sz w:val="24"/>
        </w:rPr>
      </w:pPr>
      <w:r>
        <w:t xml:space="preserve">Организацията ще предостави подкрепа на участника за започване на дейност за мобилност. </w:t>
      </w:r>
    </w:p>
    <w:p w14:paraId="6FC10B69" w14:textId="645B2501">
      <w:pPr>
        <w:pStyle w:val="P68B1DB1-ListParagraph9"/>
        <w:numPr>
          <w:ilvl w:val="1"/>
          <w:numId w:val="19"/>
        </w:numPr>
        <w:jc w:val="both"/>
        <w:rPr>
          <w:sz w:val="24"/>
        </w:rPr>
      </w:pPr>
      <w:r>
        <w:t xml:space="preserve">Участникът приема подкрепата или предоставянето на услугите, посочени в член 3, и се задължава да извършва дейността по мобилност, описана в приложението. </w:t>
      </w:r>
    </w:p>
    <w:p w14:paraId="1DB47BE6" w14:textId="6C120EE0">
      <w:pPr>
        <w:pStyle w:val="P68B1DB1-ListParagraph9"/>
        <w:numPr>
          <w:ilvl w:val="1"/>
          <w:numId w:val="19"/>
        </w:numPr>
        <w:jc w:val="both"/>
        <w:rPr>
          <w:sz w:val="24"/>
        </w:rPr>
      </w:pPr>
      <w:r>
        <w:t xml:space="preserve">Измененията на настоящото споразумение за отпускане на безвъзмездни средства ще бъдат поискани и одобрени от двете страни чрез официално уведомление с писмо или чрез електронно съобщение.</w:t>
      </w:r>
    </w:p>
    <w:p w14:paraId="3001F5E8" w14:textId="77777777">
      <w:pPr>
        <w:ind w:hanging="567"/>
        <w:jc w:val="both"/>
      </w:pPr>
    </w:p>
    <w:p w14:paraId="56438678" w14:textId="77777777">
      <w:pPr>
        <w:pStyle w:val="P68B1DB1-Heading48"/>
        <w:keepLines/>
        <w:spacing w:after="200"/>
        <w:rPr>
          <w:b/>
          <w:caps/>
          <w:snapToGrid/>
        </w:rPr>
      </w:pPr>
      <w:r>
        <w:t xml:space="preserve">ЧЛЕН 2 — ВЛИЗАНЕ В СИЛА И ПРОДЪЛЖИТЕЛНОСТ НА МОБИЛНОСТТА</w:t>
      </w:r>
    </w:p>
    <w:p w14:paraId="778A847B" w14:textId="42D31634">
      <w:pPr>
        <w:ind w:left="567" w:hanging="567"/>
        <w:jc w:val="both"/>
        <w:rPr>
          <w:sz w:val="24"/>
        </w:rPr>
        <w:pStyle w:val="BodyText"/>
      </w:pPr>
      <w:r>
        <w:t>2.1</w:t>
        <w:tab/>
        <w:t xml:space="preserve">Споразумението за отпускане на безвъзмездни средства ще влезе в сила на датата, на която последната от двете страни подпише настоящото споразумение за отпускане на безвъзмездни средства.</w:t>
      </w:r>
    </w:p>
    <w:p w14:paraId="1C7456BC" w14:textId="3BB784C4">
      <w:pPr>
        <w:ind w:left="567" w:hanging="567"/>
        <w:jc w:val="both"/>
        <w:rPr>
          <w:i/>
          <w:color w:val="4AA55B"/>
          <w:sz w:val="24"/>
        </w:rPr>
        <w:pStyle w:val="BodyText"/>
      </w:pPr>
      <w:r>
        <w:t>2.2</w:t>
        <w:tab/>
        <w:t xml:space="preserve">Споразумението за отпускане на безвъзмездни средства обхваща периода от </w:t>
      </w:r>
      <w:r>
        <w:rPr>
          <w:highlight w:val="lightGray"/>
        </w:rPr>
        <w:t>[дата]</w:t>
      </w:r>
      <w:r>
        <w:t xml:space="preserve"> до </w:t>
      </w:r>
      <w:r>
        <w:rPr>
          <w:highlight w:val="lightGray"/>
        </w:rPr>
        <w:t>[дата]</w:t>
      </w:r>
      <w:r>
        <w:t>[</w:t>
      </w:r>
      <w:r>
        <w:rPr>
          <w:highlight w:val="yellow"/>
        </w:rPr>
        <w:t xml:space="preserve">този период включва физическите и виртуалните компоненти на мобилността, описани подробно в приложението, и дните за пътуване</w:t>
      </w:r>
      <w:r>
        <w:t xml:space="preserve">]. </w:t>
      </w:r>
    </w:p>
    <w:p w14:paraId="5E76CAC2" w14:textId="08DE2E80">
      <w:pPr>
        <w:ind w:left="567" w:hanging="567"/>
        <w:jc w:val="both"/>
        <w:rPr>
          <w:sz w:val="24"/>
        </w:rPr>
        <w:pStyle w:val="BodyText"/>
      </w:pPr>
      <w:r>
        <w:t xml:space="preserve">2.3 Подробният график на дейностите е описан в приложението към настоящото споразумение.</w:t>
      </w:r>
    </w:p>
    <w:p w14:paraId="5D770C7C" w14:textId="77777777">
      <w:pPr>
        <w:pStyle w:val="Text1"/>
        <w:spacing w:after="0"/>
        <w:ind w:left="0"/>
        <w:rPr>
          <w:sz w:val="20"/>
          <w:u w:val="single"/>
        </w:rPr>
      </w:pPr>
    </w:p>
    <w:p w14:paraId="3B26CF75" w14:textId="77777777">
      <w:pPr>
        <w:pStyle w:val="P68B1DB1-Heading410"/>
        <w:keepLines/>
        <w:spacing w:after="200"/>
        <w:ind w:left="1865" w:hanging="1865"/>
        <w:rPr>
          <w:rFonts w:ascii="Times New Roman Bold" w:hAnsi="Times New Roman Bold" w:cstheme="majorBidi" w:eastAsiaTheme="majorEastAsia"/>
          <w:b/>
          <w:caps/>
          <w:snapToGrid/>
        </w:rPr>
      </w:pPr>
      <w:r>
        <w:t xml:space="preserve">ЧЛЕН 3 — ФИНАНСОВА ПОДКРЕПА </w:t>
      </w:r>
    </w:p>
    <w:p w14:paraId="5AF1903F" w14:textId="1DBCB516">
      <w:pPr>
        <w:spacing w:after="120"/>
        <w:ind w:left="567" w:hanging="567"/>
        <w:jc w:val="both"/>
        <w:rPr>
          <w:sz w:val="24"/>
        </w:rPr>
        <w:pStyle w:val="BodyText"/>
      </w:pPr>
      <w:r>
        <w:t>3.1</w:t>
        <w:tab/>
        <w:t xml:space="preserve">Финансовата подкрепа се изчислява съгласно правилата за финансиране, посочени в ръководството за програма „Еразъм+“ [</w:t>
      </w:r>
      <w:r>
        <w:rPr>
          <w:highlight w:val="lightGray"/>
        </w:rPr>
        <w:t>202X</w:t>
      </w:r>
      <w:r>
        <w:t xml:space="preserve"> версия].</w:t>
      </w:r>
    </w:p>
    <w:p w14:paraId="0037AB70" w14:textId="711C01A8">
      <w:pPr>
        <w:spacing w:after="120"/>
        <w:ind w:left="567" w:hanging="567"/>
        <w:jc w:val="both"/>
        <w:rPr>
          <w:sz w:val="24"/>
        </w:rPr>
        <w:pStyle w:val="BodyText"/>
      </w:pPr>
      <w:r>
        <w:t xml:space="preserve">3.2 Участникът ще получи финансова подкрепа от фондовете на ЕС по програма „Еразъм+“ за </w:t>
      </w:r>
      <w:r>
        <w:rPr>
          <w:highlight w:val="lightGray"/>
        </w:rPr>
        <w:t>[...]</w:t>
      </w:r>
      <w:r>
        <w:t xml:space="preserve"> дни [</w:t>
      </w:r>
      <w:r>
        <w:rPr>
          <w:highlight w:val="yellow"/>
        </w:rPr>
        <w:t xml:space="preserve">броят дни ще бъде равен на продължителността на периода на физическа мобилност плюс дните за пътуване; ако участникът няма да получи финансова подкрепа за част или целия период на мобилност, този брой дни следва да бъде съответно коригиран]</w:t>
      </w:r>
      <w:r>
        <w:t>.</w:t>
      </w:r>
    </w:p>
    <w:p w14:paraId="54D4AA29" w14:textId="64CB6F60">
      <w:pPr>
        <w:spacing w:after="120"/>
        <w:ind w:left="567" w:hanging="567"/>
        <w:jc w:val="both"/>
        <w:rPr>
          <w:sz w:val="24"/>
        </w:rPr>
        <w:pStyle w:val="BodyText"/>
      </w:pPr>
      <w:r>
        <w:t xml:space="preserve">3.3 </w:t>
        <w:tab/>
        <w:t xml:space="preserve">Участникът може да подаде искане за удължаване на периода на физическа мобилност в рамките на лимита, определен в Ръководството за програма „Еразъм+„[</w:t>
      </w:r>
      <w:r>
        <w:rPr>
          <w:highlight w:val="lightGray"/>
        </w:rPr>
        <w:t>X</w:t>
      </w:r>
      <w:r>
        <w:t xml:space="preserve">]дни [</w:t>
      </w:r>
      <w:r>
        <w:rPr>
          <w:highlight w:val="yellow"/>
        </w:rPr>
        <w:t xml:space="preserve">да се попълни от бенефициера в съответствие с правилата за програмата „Еразъм+“]</w:t>
      </w:r>
      <w:r>
        <w:t xml:space="preserve">. Ако организацията се съгласи да удължи продължителността на периода на мобилност, споразумението ще бъде съответно изменено.</w:t>
        <w:tab/>
      </w:r>
    </w:p>
    <w:p w14:paraId="66EC7CD6" w14:textId="41F19CE8">
      <w:pPr>
        <w:spacing w:after="120"/>
        <w:ind w:left="567" w:hanging="567"/>
        <w:jc w:val="both"/>
        <w:rPr>
          <w:i/>
          <w:color w:val="4AA55B"/>
          <w:sz w:val="24"/>
        </w:rPr>
        <w:pStyle w:val="BodyText"/>
      </w:pPr>
      <w:r>
        <w:t>3.4</w:t>
        <w:tab/>
      </w:r>
      <w:r>
        <w:rPr>
          <w:i/>
          <w:color w:val="4AA55B"/>
        </w:rPr>
        <w:t xml:space="preserve">[Вариант 1</w:t>
      </w:r>
    </w:p>
    <w:p w14:paraId="197DF902" w14:textId="2427F4ED">
      <w:pPr>
        <w:spacing w:after="120"/>
        <w:ind w:left="567"/>
        <w:jc w:val="both"/>
        <w:rPr>
          <w:sz w:val="24"/>
        </w:rPr>
        <w:pStyle w:val="BodyText"/>
      </w:pPr>
      <w:r>
        <w:t xml:space="preserve">Организацията ще предостави на участника необходимата подкрепа под формата на плащане в размер на </w:t>
      </w:r>
      <w:r>
        <w:rPr>
          <w:highlight w:val="lightGray"/>
        </w:rPr>
        <w:t xml:space="preserve">[...] EUR.]</w:t>
      </w:r>
      <w:r>
        <w:t xml:space="preserve"> </w:t>
      </w:r>
    </w:p>
    <w:p w14:paraId="10C67E59" w14:textId="44AA94A1">
      <w:pPr>
        <w:spacing w:after="120"/>
        <w:ind w:left="567"/>
        <w:jc w:val="both"/>
        <w:rPr>
          <w:i/>
          <w:color w:val="4AA55B"/>
          <w:sz w:val="24"/>
        </w:rPr>
        <w:pStyle w:val="P68B1DB1-Normal7"/>
      </w:pPr>
      <w:r>
        <w:t xml:space="preserve">[Вариант 2 </w:t>
      </w:r>
    </w:p>
    <w:p w14:paraId="29E9CDC9" w14:textId="44D31EE2">
      <w:pPr>
        <w:spacing w:after="120"/>
        <w:ind w:left="567"/>
        <w:jc w:val="both"/>
        <w:rPr>
          <w:sz w:val="24"/>
          <w:highlight w:val="yellow"/>
        </w:rPr>
        <w:pStyle w:val="BodyText"/>
      </w:pPr>
      <w:r>
        <w:t xml:space="preserve">Организацията ще предостави на участника необходимата подкрепа под формата на пряко предоставяне на необходимите услуги за подкрепа. Организацията ще гарантира, че това пряко предоставяне на услуги ще отговаря на необходимите стандарти за качество и безопасност.</w:t>
      </w:r>
      <w:r>
        <w:rPr>
          <w:i/>
          <w:color w:val="4AA55B"/>
        </w:rPr>
        <w:t xml:space="preserve"> ]</w:t>
      </w:r>
    </w:p>
    <w:p w14:paraId="09886D5E" w14:textId="19391A05">
      <w:pPr>
        <w:spacing w:after="120"/>
        <w:ind w:left="567"/>
        <w:jc w:val="both"/>
        <w:rPr>
          <w:i/>
          <w:color w:val="4AA55B"/>
          <w:sz w:val="24"/>
        </w:rPr>
        <w:pStyle w:val="P68B1DB1-Normal7"/>
      </w:pPr>
      <w:r>
        <w:t xml:space="preserve">[Вариант 3]</w:t>
      </w:r>
    </w:p>
    <w:p w14:paraId="51D85E5A" w14:textId="68570307">
      <w:pPr>
        <w:spacing w:after="120"/>
        <w:ind w:left="567"/>
        <w:jc w:val="both"/>
        <w:rPr>
          <w:sz w:val="24"/>
        </w:rPr>
        <w:pStyle w:val="BodyText"/>
      </w:pPr>
      <w:r>
        <w:t xml:space="preserve">Организацията ще предостави на участника необходимата подкрепа под формата на плащане в размер на следната сума </w:t>
      </w:r>
      <w:r>
        <w:rPr>
          <w:highlight w:val="lightGray"/>
        </w:rPr>
        <w:t>[...]</w:t>
      </w:r>
      <w:r>
        <w:t xml:space="preserve"> EUR и под формата на пряко предоставяне на </w:t>
      </w:r>
      <w:r>
        <w:rPr>
          <w:highlight w:val="lightGray"/>
        </w:rPr>
        <w:t xml:space="preserve">[пътна/индивидуална подкрепа/езикова подкрепа/такси за курсове/подкрепа за приобщаване]</w:t>
      </w:r>
    </w:p>
    <w:p w14:paraId="74A88D2A" w14:textId="0277A03E">
      <w:pPr>
        <w:spacing w:after="120"/>
        <w:ind w:left="567"/>
        <w:jc w:val="both"/>
        <w:rPr>
          <w:sz w:val="24"/>
        </w:rPr>
        <w:pStyle w:val="BodyText"/>
      </w:pPr>
      <w:r>
        <w:t xml:space="preserve">Организацията ще гарантира, че прякото предоставяне на услуги ще отговаря на необходимите стандарти за качество и безопасност. </w:t>
      </w:r>
      <w:r>
        <w:rPr>
          <w:i/>
          <w:color w:val="4AA55B"/>
        </w:rPr>
        <w:t>]</w:t>
      </w:r>
      <w:r>
        <w:t xml:space="preserve"> </w:t>
      </w:r>
    </w:p>
    <w:p w14:paraId="013C88BC" w14:textId="015AEE4E">
      <w:pPr>
        <w:spacing w:after="120"/>
        <w:ind w:left="567" w:hanging="567"/>
        <w:jc w:val="both"/>
        <w:rPr>
          <w:sz w:val="24"/>
        </w:rPr>
        <w:pStyle w:val="BodyText"/>
      </w:pPr>
      <w:r>
        <w:t xml:space="preserve">3.5 </w:t>
        <w:tab/>
        <w:t xml:space="preserve">Участникът има право да получи възстановяване на 100 % от допустимите разходи за подкрепа на приобщаването. Възстановяването на направените разходи ще се основава на оправдателните документи, предоставени от участника.</w:t>
      </w:r>
    </w:p>
    <w:p w14:paraId="0A564D2C" w14:textId="7EADD804">
      <w:pPr>
        <w:spacing w:after="120"/>
        <w:ind w:left="567" w:hanging="567"/>
        <w:jc w:val="both"/>
        <w:rPr>
          <w:sz w:val="24"/>
        </w:rPr>
        <w:pStyle w:val="BodyText"/>
      </w:pPr>
      <w:r>
        <w:t>3.6</w:t>
        <w:tab/>
        <w:t xml:space="preserve">Финансовата подкрепа не може да се използва за покриване на разходи за действия, които вече са финансирани със средства на Съюза. </w:t>
      </w:r>
    </w:p>
    <w:p w14:paraId="2BDB3F4B" w14:textId="3D4297D1">
      <w:pPr>
        <w:spacing w:after="120"/>
        <w:ind w:left="567" w:hanging="567"/>
        <w:jc w:val="both"/>
        <w:rPr>
          <w:sz w:val="24"/>
        </w:rPr>
        <w:pStyle w:val="BodyText"/>
      </w:pPr>
      <w:r>
        <w:t>3.7</w:t>
        <w:tab/>
        <w:t xml:space="preserve">Независимо от член 3.6, финансовата подкрепа е съвместима с всеки друг източник на финансиране. В случай на мобилност на учащите се приходите, които участникът би могъл да получи, за да работят извън своето образование/стаж, са съвместими, при условие че извършват дейностите, предвидени в приложението. </w:t>
      </w:r>
    </w:p>
    <w:p w14:paraId="1517E8F8" w14:textId="77777777">
      <w:pPr>
        <w:ind w:left="567" w:hanging="567"/>
        <w:jc w:val="both"/>
      </w:pPr>
    </w:p>
    <w:p w14:paraId="264F14EA" w14:textId="77777777">
      <w:pPr>
        <w:pStyle w:val="P68B1DB1-Heading410"/>
        <w:keepLines/>
        <w:spacing w:after="200"/>
        <w:ind w:left="1865" w:hanging="1865"/>
        <w:rPr>
          <w:rFonts w:ascii="Times New Roman Bold" w:hAnsi="Times New Roman Bold" w:cstheme="majorBidi" w:eastAsiaTheme="majorEastAsia"/>
          <w:b/>
          <w:caps/>
          <w:snapToGrid/>
        </w:rPr>
      </w:pPr>
      <w:r>
        <w:t xml:space="preserve">ЧЛЕН 4 — РАЗПОРЕДБИ ЗА ПЛАЩАНЕ </w:t>
      </w:r>
    </w:p>
    <w:p w14:paraId="51511D37" w14:textId="47A9B375">
      <w:pPr>
        <w:spacing w:after="120"/>
        <w:ind w:left="567" w:hanging="567"/>
        <w:rPr>
          <w:i/>
          <w:color w:val="4AA55B"/>
          <w:sz w:val="24"/>
        </w:rPr>
        <w:pStyle w:val="P68B1DB1-Normal7"/>
      </w:pPr>
      <w:r>
        <w:t xml:space="preserve">[Вариант, ако в член 3.4 е избран вариант 1 или 3</w:t>
      </w:r>
    </w:p>
    <w:p w14:paraId="3049515D" w14:textId="77777777">
      <w:pPr>
        <w:spacing w:after="120"/>
        <w:ind w:left="567" w:hanging="567"/>
        <w:jc w:val="both"/>
        <w:rPr>
          <w:i/>
          <w:color w:val="4AA55B"/>
          <w:sz w:val="24"/>
        </w:rPr>
        <w:pStyle w:val="BodyText"/>
      </w:pPr>
      <w:r>
        <w:t>4.1</w:t>
        <w:tab/>
        <w:t xml:space="preserve">В срок от 30 календарни дни след подписването на споразумението от двете страни или след получаване на потвърждение за пристигане и не по-късно от началната дата на периода на мобилност, посочен в член 2.2, на участника, представляващ </w:t>
      </w:r>
      <w:r>
        <w:rPr>
          <w:highlight w:val="lightGray"/>
        </w:rPr>
        <w:t xml:space="preserve">[...%] [</w:t>
      </w:r>
      <w:r>
        <w:rPr>
          <w:highlight w:val="yellow"/>
        </w:rPr>
        <w:t xml:space="preserve"> Изпращащата организация да избере между 50 % и 100 %]</w:t>
      </w:r>
      <w:r>
        <w:t xml:space="preserve"> от сумата, посочена в член 3, се предоставя предварително финансиране. В случай че участникът не е предоставил удостоверителните документи навреме, съгласно графика на изпращащата организация, по изключение може да бъде прието последващо плащане на предварителното финансиране въз основа на основателни причини.</w:t>
      </w:r>
      <w:r>
        <w:rPr>
          <w:i/>
          <w:color w:val="4AA55B"/>
        </w:rPr>
        <w:t xml:space="preserve"> </w:t>
      </w:r>
    </w:p>
    <w:p w14:paraId="2FDAA222" w14:textId="0EF38BDD">
      <w:pPr>
        <w:spacing w:after="120"/>
        <w:ind w:left="567" w:hanging="567"/>
        <w:jc w:val="both"/>
        <w:rPr>
          <w:sz w:val="24"/>
        </w:rPr>
        <w:pStyle w:val="P68B1DB1-Normal7"/>
      </w:pPr>
      <w:r>
        <w:t xml:space="preserve">[Вариант 1, ако плащането по член 4.1 е по-малко от 100 % от финансовата подкрепа</w:t>
      </w:r>
    </w:p>
    <w:p w14:paraId="3ADA29A0" w14:textId="29330AF9">
      <w:pPr>
        <w:spacing w:after="120"/>
        <w:ind w:left="567" w:hanging="567"/>
        <w:jc w:val="both"/>
        <w:rPr>
          <w:sz w:val="24"/>
        </w:rPr>
        <w:pStyle w:val="BodyText"/>
      </w:pPr>
      <w:r>
        <w:t>4.2</w:t>
        <w:tab/>
        <w:t xml:space="preserve">Подаването на доклада за участника чрез онлайн инструмента EU Survey ще се счита за искане на участника за плащане на остатъка от финансовата подкрепа. Организацията разполага с 45 календарни дни, за да извърши плащането на остатъка или да издаде нареждане за събиране, в случай че се дължи възстановяване.</w:t>
      </w:r>
      <w:r>
        <w:rPr>
          <w:i/>
          <w:color w:val="4AA55B"/>
        </w:rPr>
        <w:t>]]</w:t>
      </w:r>
    </w:p>
    <w:p w14:paraId="7683D12B" w14:textId="77777777">
      <w:pPr>
        <w:ind w:left="567" w:hanging="567"/>
        <w:jc w:val="both"/>
      </w:pPr>
    </w:p>
    <w:p w14:paraId="4F1A701C" w14:textId="77777777">
      <w:pPr>
        <w:ind w:left="567" w:hanging="567"/>
        <w:jc w:val="both"/>
      </w:pPr>
    </w:p>
    <w:p w14:paraId="718AB7BC" w14:textId="7A1921AC">
      <w:pPr>
        <w:pStyle w:val="P68B1DB1-Heading410"/>
        <w:keepLines/>
        <w:spacing w:after="200"/>
        <w:ind w:left="1865" w:hanging="1865"/>
        <w:rPr>
          <w:rFonts w:ascii="Times New Roman Bold" w:hAnsi="Times New Roman Bold" w:cstheme="majorBidi" w:eastAsiaTheme="majorEastAsia"/>
          <w:b/>
          <w:caps/>
          <w:snapToGrid/>
        </w:rPr>
      </w:pPr>
      <w:r>
        <w:t xml:space="preserve">ЧЛЕН 5 — ВЪЗСТАНОВЯВАНЕ</w:t>
      </w:r>
    </w:p>
    <w:p w14:paraId="22958B81" w14:textId="34AAB06B">
      <w:pPr>
        <w:ind w:left="567" w:hanging="567"/>
        <w:jc w:val="both"/>
        <w:rPr>
          <w:sz w:val="24"/>
        </w:rPr>
        <w:pStyle w:val="BodyText"/>
      </w:pPr>
      <w:r>
        <w:t xml:space="preserve">5.1 Финансовата подкрепа или част от нея ще бъде възстановена от изпращащата организация, ако участникът не спазва условията на споразумението. Ако участникът прекрати споразумението преди неговото приключване, участникът ще трябва да върне сумата на вече изплатените безвъзмездни средства, освен ако не е уговорена по друг начин с изпращащата организация. Последното се докладва от изпращащата организация и се приема от националната агенция.</w:t>
      </w:r>
    </w:p>
    <w:p w14:paraId="3A2DFC8F" w14:textId="77777777">
      <w:pPr>
        <w:ind w:left="567" w:hanging="567"/>
        <w:jc w:val="both"/>
      </w:pPr>
    </w:p>
    <w:p w14:paraId="29072046" w14:textId="6A19A3AF">
      <w:pPr>
        <w:pStyle w:val="P68B1DB1-Heading410"/>
        <w:keepLines/>
        <w:spacing w:after="200"/>
        <w:ind w:left="1865" w:hanging="1865"/>
        <w:rPr>
          <w:rFonts w:ascii="Times New Roman Bold" w:hAnsi="Times New Roman Bold" w:cstheme="majorBidi" w:eastAsiaTheme="majorEastAsia"/>
          <w:b/>
          <w:caps/>
          <w:snapToGrid/>
        </w:rPr>
      </w:pPr>
      <w:r>
        <w:t xml:space="preserve">ЧЛЕН 6 — ЗАСТРАХОВКА</w:t>
      </w:r>
    </w:p>
    <w:p w14:paraId="3E2AF144" w14:textId="0F001FF3">
      <w:pPr>
        <w:spacing w:after="120"/>
        <w:ind w:left="567" w:hanging="567"/>
        <w:jc w:val="both"/>
        <w:rPr>
          <w:sz w:val="24"/>
        </w:rPr>
        <w:pStyle w:val="BodyText"/>
      </w:pPr>
      <w:r>
        <w:t>6.1</w:t>
        <w:tab/>
        <w:t xml:space="preserve">Организацията ще се увери, че участникът има адекватно застрахователно покритие или като си осигури застраховката, или като сключи споразумение с приемащата организация за предоставяне на застраховката, или като предостави на участника съответната информация и подкрепа за самостоятелно сключване на застраховка. </w:t>
      </w:r>
      <w:r>
        <w:rPr>
          <w:highlight w:val="yellow"/>
        </w:rPr>
        <w:t xml:space="preserve">[В случай че приемащата организация е посочена като отговорна страна в член 5, параграф 3, към настоящото споразумение за отпускане на безвъзмездни средства се прилага специален документ, в който се определят условията на застрахователната разпоредба и се включва съгласието на приемащата организация.]</w:t>
      </w:r>
    </w:p>
    <w:p w14:paraId="20A04601" w14:textId="1DF6EC5B">
      <w:pPr>
        <w:spacing w:after="120"/>
        <w:ind w:left="567" w:hanging="567"/>
        <w:jc w:val="both"/>
        <w:rPr>
          <w:snapToGrid/>
          <w:sz w:val="24"/>
        </w:rPr>
        <w:pStyle w:val="BodyText"/>
      </w:pPr>
      <w:r>
        <w:t xml:space="preserve">6.2 </w:t>
        <w:tab/>
        <w:t xml:space="preserve">Застрахователното покритие включва най-малко здравна застраховка, застраховка „Гражданска отговорност„и застраховка „Злополука“. </w:t>
      </w:r>
      <w:r>
        <w:rPr>
          <w:highlight w:val="yellow"/>
        </w:rPr>
        <w:t>[</w:t>
      </w:r>
      <w:r>
        <w:rPr>
          <w:color w:val="000000" w:themeColor="text1"/>
          <w:highlight w:val="yellow"/>
        </w:rPr>
        <w:t xml:space="preserve">В случай на мобилност в рамките на ЕС националното здравно осигуряване на участника ще включва основно покритие по време на престоя им в друга държава от ЕС чрез Европейската здравноосигурителна карта. Това покритие обаче може да не е достатъчно за всички ситуации, например в случай на репатриране или специална медицинска намеса или в случай на международна мобилност. В този случай може да е необходимо допълнително частно здравно осигуряване. Застраховките „Гражданска отговорност„и „Злополука“ покриват щети, причинени от участника или участника по време на престоя</w:t>
      </w:r>
      <w:r>
        <w:rPr>
          <w:highlight w:val="yellow"/>
        </w:rPr>
        <w:t xml:space="preserve"> им в чужбина. В различните държави съществува различно регулиране на тези застраховки и участниците рискуват да не бъдат обхванати от стандартни схеми, например ако не се считат за наети лица или формално са записани в приемащата организация. В допълнение към горното се препоръчва застраховка срещу загуба или кражба на документи, билети за пътуване и багаж. Националната агенция може да измени член 5, параграф 2, ако има основание за адаптиране на изискванията по подразбиране към националния контекст.]</w:t>
      </w:r>
    </w:p>
    <w:p w14:paraId="3B6AAA9F" w14:textId="480CECA2">
      <w:pPr>
        <w:spacing w:after="120"/>
        <w:ind w:left="567"/>
        <w:jc w:val="both"/>
        <w:rPr>
          <w:sz w:val="24"/>
        </w:rPr>
        <w:pStyle w:val="BodyText"/>
      </w:pPr>
      <w:r>
        <w:t>[</w:t>
      </w:r>
      <w:r>
        <w:rPr>
          <w:highlight w:val="yellow"/>
        </w:rPr>
        <w:t xml:space="preserve">Препоръчва се да се включи и следната информация:</w:t>
      </w:r>
      <w:r>
        <w:t>][</w:t>
      </w:r>
      <w:r>
        <w:rPr>
          <w:highlight w:val="lightGray"/>
        </w:rPr>
        <w:t xml:space="preserve">Доставчик(ци), застрахователен номер и застрахователна полица</w:t>
      </w:r>
      <w:r>
        <w:t>].</w:t>
      </w:r>
    </w:p>
    <w:p w14:paraId="781B9BE7" w14:textId="6CA8C414">
      <w:pPr>
        <w:spacing w:after="120"/>
        <w:ind w:left="567" w:hanging="567"/>
        <w:jc w:val="both"/>
        <w:rPr>
          <w:snapToGrid/>
          <w:sz w:val="24"/>
        </w:rPr>
        <w:pStyle w:val="BodyText"/>
      </w:pPr>
      <w:r>
        <w:t xml:space="preserve">6.3 Отговорното лице за поемане на застрахователното покритие е: [</w:t>
      </w:r>
      <w:r>
        <w:rPr>
          <w:highlight w:val="lightGray"/>
        </w:rPr>
        <w:t xml:space="preserve">организацията ИЛИ участникът ИЛИ приемащите организации</w:t>
      </w:r>
      <w:r>
        <w:t xml:space="preserve">] [</w:t>
      </w:r>
      <w:r>
        <w:rPr>
          <w:highlight w:val="yellow"/>
        </w:rPr>
        <w:t xml:space="preserve">В случай на отделни застраховки отговорните лица могат да бъдат различни и ще бъдат изброени тук в зависимост от съответните им отговорности].</w:t>
      </w:r>
    </w:p>
    <w:p w14:paraId="64BE5FC3" w14:textId="77777777">
      <w:pPr>
        <w:ind w:left="567"/>
        <w:jc w:val="both"/>
      </w:pPr>
    </w:p>
    <w:p w14:paraId="168949C2" w14:textId="77777777">
      <w:pPr>
        <w:pStyle w:val="P68B1DB1-Heading410"/>
        <w:keepLines/>
        <w:spacing w:after="200"/>
        <w:ind w:left="1865" w:hanging="1865"/>
        <w:rPr>
          <w:rFonts w:ascii="Times New Roman Bold" w:hAnsi="Times New Roman Bold" w:cstheme="majorBidi" w:eastAsiaTheme="majorEastAsia"/>
          <w:b/>
          <w:caps/>
          <w:snapToGrid/>
        </w:rPr>
      </w:pPr>
      <w:r>
        <w:t xml:space="preserve">ЧЛЕН 7 — ЕЗИКОВА ПОДКРЕПА ОНЛАЙН (OLS) </w:t>
      </w:r>
    </w:p>
    <w:p w14:paraId="766C9FDE" w14:textId="08FE2262">
      <w:pPr>
        <w:spacing w:after="120"/>
        <w:ind w:left="567" w:hanging="567"/>
        <w:rPr>
          <w:sz w:val="24"/>
        </w:rPr>
        <w:pStyle w:val="P68B1DB1-Normal7"/>
      </w:pPr>
      <w:r>
        <w:t xml:space="preserve">[Вариант, ако участникът използва OLS:</w:t>
      </w:r>
    </w:p>
    <w:p w14:paraId="6A212E74" w14:textId="1879B357">
      <w:pPr>
        <w:spacing w:after="120"/>
        <w:ind w:left="720" w:hanging="720"/>
        <w:jc w:val="both"/>
        <w:rPr>
          <w:snapToGrid/>
          <w:sz w:val="24"/>
        </w:rPr>
        <w:pStyle w:val="BodyText"/>
      </w:pPr>
      <w:r>
        <w:t>7.1</w:t>
        <w:tab/>
        <w:t xml:space="preserve">Участникът ще следва езиковия курс на OLS, определен от организацията. </w:t>
      </w:r>
      <w:r>
        <w:rPr>
          <w:i/>
          <w:color w:val="4AA55B"/>
        </w:rPr>
        <w:t xml:space="preserve">[Вариант, ако бенефициерът желае да поиска оценка на ОЕП:</w:t>
      </w:r>
      <w:r>
        <w:t xml:space="preserve"> Участникът трябва да извърши езиковата оценка на ОЕП до крайния срок, определен от организацията.</w:t>
      </w:r>
      <w:r>
        <w:rPr>
          <w:i/>
          <w:color w:val="4AA55B"/>
        </w:rPr>
        <w:t>]</w:t>
      </w:r>
    </w:p>
    <w:p w14:paraId="42367351" w14:textId="624CC832">
      <w:pPr>
        <w:spacing w:after="120"/>
        <w:ind w:left="720" w:hanging="720"/>
        <w:jc w:val="both"/>
        <w:rPr>
          <w:i/>
          <w:color w:val="4AA55B"/>
          <w:sz w:val="24"/>
        </w:rPr>
        <w:pStyle w:val="BodyText"/>
      </w:pPr>
      <w:r>
        <w:t>7.2</w:t>
        <w:tab/>
        <w:t xml:space="preserve">Организацията ще предостави на участника достъп до платформата за ОЕП своевременно, за да му се даде възможност да спази горепосочените изисквания. Участникът незабавно ще информира организацията, ако се сблъска с технически или други проблеми, когато използва платформата OLS.</w:t>
      </w:r>
      <w:r>
        <w:rPr>
          <w:i/>
          <w:color w:val="4AA55B"/>
        </w:rPr>
        <w:t>]</w:t>
      </w:r>
    </w:p>
    <w:p w14:paraId="3CBB283F" w14:textId="1B45B424">
      <w:pPr>
        <w:spacing w:after="120"/>
        <w:ind w:left="567" w:hanging="567"/>
        <w:rPr>
          <w:i/>
          <w:color w:val="4AA55B"/>
          <w:sz w:val="24"/>
        </w:rPr>
        <w:pStyle w:val="P68B1DB1-Normal7"/>
      </w:pPr>
      <w:r>
        <w:t xml:space="preserve">[Вариант, ако участникът не използва OLS:</w:t>
      </w:r>
    </w:p>
    <w:p w14:paraId="36A9027A" w14:textId="222CA085">
      <w:pPr>
        <w:spacing w:after="120"/>
        <w:ind w:left="567" w:hanging="567"/>
        <w:rPr>
          <w:sz w:val="24"/>
        </w:rPr>
        <w:pStyle w:val="P68B1DB1-Normal2"/>
      </w:pPr>
      <w:r>
        <w:t xml:space="preserve">Не се прилага</w:t>
      </w:r>
      <w:r>
        <w:rPr>
          <w:i/>
          <w:color w:val="4AA55B"/>
        </w:rPr>
        <w:t>]</w:t>
      </w:r>
    </w:p>
    <w:p w14:paraId="3DF2C1B8" w14:textId="77777777"/>
    <w:p w14:paraId="24FE7AC6" w14:textId="657628F0">
      <w:pPr>
        <w:pStyle w:val="P68B1DB1-Heading410"/>
        <w:keepLines/>
        <w:spacing w:after="200"/>
        <w:ind w:left="1865" w:hanging="1865"/>
        <w:rPr>
          <w:rFonts w:ascii="Times New Roman Bold" w:hAnsi="Times New Roman Bold" w:cstheme="majorBidi" w:eastAsiaTheme="majorEastAsia"/>
          <w:b/>
          <w:caps/>
          <w:snapToGrid/>
        </w:rPr>
      </w:pPr>
      <w:r>
        <w:t xml:space="preserve">ЧЛЕН 8 — ДОКЛАД ЗА УЧАСТНИЦИТЕ (ПРОУЧВАНЕ НА ЕС)</w:t>
      </w:r>
    </w:p>
    <w:p w14:paraId="51B8C9FB" w14:textId="4DE11905">
      <w:pPr>
        <w:spacing w:after="120"/>
        <w:ind w:left="720" w:hanging="720"/>
        <w:jc w:val="both"/>
        <w:rPr>
          <w:sz w:val="24"/>
        </w:rPr>
        <w:pStyle w:val="BodyText"/>
      </w:pPr>
      <w:r>
        <w:t>8.1</w:t>
        <w:tab/>
        <w:t xml:space="preserve">Участникът ще попълни и подаде онлайн проучването на ЕС след дейността за мобилност в чужбина в срок от 30 календарни дни след получаване на поканата за неговото завършване. От участниците, които не попълнят и не подадат онлайн проучването на ЕС, може да бъде поискано от тяхната организация да възстановят частично или изцяло получената финансова подкрепа.</w:t>
      </w:r>
    </w:p>
    <w:p w14:paraId="39298A09" w14:textId="4389929C">
      <w:pPr>
        <w:ind w:left="720" w:hanging="720"/>
        <w:jc w:val="both"/>
        <w:rPr>
          <w:sz w:val="24"/>
        </w:rPr>
        <w:pStyle w:val="BodyText"/>
      </w:pPr>
      <w:r>
        <w:t>8.2</w:t>
        <w:tab/>
        <w:t xml:space="preserve">На участника може да бъде изпратено допълнително онлайн проучване, което дава възможност за пълно докладване по въпроси, свързани с признаването.</w:t>
      </w:r>
    </w:p>
    <w:p w14:paraId="7D1DD869" w14:textId="77777777">
      <w:pPr>
        <w:ind w:left="720" w:hanging="720"/>
        <w:jc w:val="both"/>
      </w:pPr>
    </w:p>
    <w:p w14:paraId="19F8F322" w14:textId="05FEB8F6">
      <w:pPr>
        <w:pStyle w:val="P68B1DB1-Heading410"/>
        <w:keepLines/>
        <w:spacing w:after="200"/>
        <w:ind w:left="1865" w:hanging="1865"/>
        <w:rPr>
          <w:rFonts w:ascii="Times New Roman Bold" w:hAnsi="Times New Roman Bold" w:cstheme="majorBidi" w:eastAsiaTheme="majorEastAsia"/>
          <w:b/>
          <w:caps/>
          <w:snapToGrid/>
        </w:rPr>
      </w:pPr>
      <w:r>
        <w:t xml:space="preserve">ЧЛЕН 9 — ЕТИКА И ЦЕННОСТИ</w:t>
      </w:r>
    </w:p>
    <w:p w14:paraId="5178FEAC" w14:textId="65FB50ED">
      <w:pPr>
        <w:tabs>
          <w:tab w:val="left" w:pos="567"/>
        </w:tabs>
        <w:spacing w:after="120"/>
        <w:ind w:left="567" w:hanging="567"/>
        <w:jc w:val="both"/>
        <w:rPr>
          <w:sz w:val="24"/>
        </w:rPr>
        <w:pStyle w:val="BodyText"/>
      </w:pPr>
      <w:r>
        <w:t xml:space="preserve">9.1 Етика: Дейността по мобилност трябва да се извършва в съответствие с най-високите етични стандарти и приложимото право на ЕС, международно и национално право в областта на етичните принципи.</w:t>
      </w:r>
    </w:p>
    <w:p w14:paraId="15AAA796" w14:textId="715E5B45">
      <w:pPr>
        <w:spacing w:after="120"/>
        <w:ind w:left="567" w:hanging="567"/>
        <w:jc w:val="both"/>
        <w:rPr>
          <w:sz w:val="24"/>
        </w:rPr>
        <w:pStyle w:val="BodyText"/>
      </w:pPr>
      <w:r>
        <w:t xml:space="preserve">9.2 Стойности: Участникът трябва да се ангажира и да гарантира зачитането на основните ценности на ЕС (като зачитане на човешкото достойнство, свободата, демокрацията, равенството, принципите на правовата държава и правата на човека, включително правата на малцинствата).</w:t>
      </w:r>
    </w:p>
    <w:p w14:paraId="4B39D962" w14:textId="3A89E8BA">
      <w:pPr>
        <w:tabs>
          <w:tab w:val="left" w:pos="567"/>
        </w:tabs>
        <w:spacing w:after="120"/>
        <w:ind w:left="567" w:hanging="567"/>
        <w:jc w:val="both"/>
        <w:rPr>
          <w:sz w:val="24"/>
        </w:rPr>
        <w:pStyle w:val="BodyText"/>
      </w:pPr>
      <w:r>
        <w:t>9.3</w:t>
        <w:tab/>
        <w:t xml:space="preserve">Ако участник наруши което и да е от задълженията си по настоящия член, размерът на безвъзмездните средства може да бъде намален. </w:t>
      </w:r>
    </w:p>
    <w:p w14:paraId="4691EDA2" w14:textId="64B9E93A">
      <w:pPr>
        <w:pStyle w:val="Heading4"/>
        <w:keepLines/>
        <w:spacing w:after="200"/>
        <w:ind w:left="1865" w:hanging="1865"/>
        <w:rPr>
          <w:rFonts w:ascii="Times New Roman Bold" w:hAnsi="Times New Roman Bold" w:cstheme="majorBidi" w:eastAsiaTheme="majorEastAsia"/>
          <w:b/>
          <w:caps/>
          <w:snapToGrid/>
        </w:rPr>
      </w:pPr>
      <w:r>
        <w:t xml:space="preserve"> </w:t>
      </w:r>
      <w:r>
        <w:rPr>
          <w:rFonts w:ascii="Times New Roman Bold" w:hAnsi="Times New Roman Bold" w:cstheme="majorBidi" w:eastAsiaTheme="majorEastAsia"/>
          <w:b/>
          <w:caps/>
          <w:snapToGrid/>
        </w:rPr>
        <w:t xml:space="preserve">ЧЛЕН 10 — ЗАЩИТА НА ДАННИТЕ</w:t>
      </w:r>
    </w:p>
    <w:p w14:paraId="67564B99" w14:textId="777C28A3">
      <w:pPr>
        <w:tabs>
          <w:tab w:val="left" w:pos="567"/>
        </w:tabs>
        <w:spacing w:after="120"/>
        <w:ind w:left="567" w:hanging="567"/>
        <w:jc w:val="both"/>
        <w:rPr>
          <w:sz w:val="24"/>
        </w:rPr>
        <w:pStyle w:val="BodyText"/>
      </w:pPr>
      <w:r>
        <w:t>10.1</w:t>
        <w:tab/>
        <w:t xml:space="preserve">Организацията ще предостави на участниците съответната декларация за поверителност за обработката на личните им данни, преди те да бъдат кодирани в електронните системи за управление на мобилността по „Еразъм+“.</w:t>
      </w:r>
    </w:p>
    <w:p w14:paraId="382AAA7E" w14:textId="77777777">
      <w:pPr>
        <w:tabs>
          <w:tab w:val="left" w:pos="567"/>
        </w:tabs>
        <w:spacing w:after="120"/>
        <w:ind w:left="1134" w:hanging="567"/>
        <w:jc w:val="both"/>
        <w:rPr>
          <w:rStyle w:val="Hyperlink"/>
          <w:sz w:val="24"/>
        </w:rPr>
      </w:pPr>
      <w:hyperlink r:id="rId11" w:history="1">
        <w:r>
          <w:rPr>
            <w:rStyle w:val="Hyperlink"/>
            <w:sz w:val="24"/>
          </w:rPr>
          <w:t>https://webgate.ec.europa.eu/erasmus-esc/index/privacy-statement</w:t>
        </w:r>
      </w:hyperlink>
    </w:p>
    <w:p w14:paraId="5E06A465" w14:textId="7F08D8FA">
      <w:pPr>
        <w:spacing w:after="120"/>
        <w:ind w:left="567" w:hanging="567"/>
        <w:jc w:val="both"/>
        <w:rPr>
          <w:sz w:val="24"/>
        </w:rPr>
        <w:pStyle w:val="BodyText"/>
      </w:pPr>
      <w:r>
        <w:t xml:space="preserve">10.2 Всички лични данни, съдържащи се в споразумението, ще бъдат обработвани в съответствие с Регламент (ЕО) № 2018/1725 на Европейския парламент и на Съвета относно защитата на физическите лица във връзка с обработването на лични данни от организациите и органите на ЕС и относно свободното движение на такива данни. Тези данни ще бъдат обработвани единствено във връзка с изпълнението и последващите действия във връзка със споразумението от изпращащата организация, националната агенция и Европейската комисия, без да се засяга възможността за предаване на данните на органите, отговарящи за проверките и одита в съответствие със законодателството на ЕС (Сметната палата или Европейската служба за борба с измамите (OLAF)).</w:t>
      </w:r>
    </w:p>
    <w:p w14:paraId="32B2842A" w14:textId="62681389">
      <w:pPr>
        <w:tabs>
          <w:tab w:val="left" w:pos="567"/>
        </w:tabs>
        <w:spacing w:after="120"/>
        <w:ind w:left="567"/>
        <w:jc w:val="both"/>
        <w:rPr>
          <w:sz w:val="24"/>
        </w:rPr>
        <w:pStyle w:val="BodyText"/>
      </w:pPr>
      <w:r>
        <w:t xml:space="preserve">При писмено искане участникът може да получи достъп до личните си данни и да коригира всяка информация, която е неточна или непълна. Участникът следва да отправи всички въпроси, свързани с обработката на личните му данни, до изпращащата организация и/или националната агенция. Участникът може да подаде жалба срещу обработването на личните му данни до Европейския надзорен орган по защита на данните във връзка с използването на данните от Европейската комисия. </w:t>
      </w:r>
    </w:p>
    <w:p w14:paraId="0F58EB42" w14:textId="77777777">
      <w:pPr>
        <w:tabs>
          <w:tab w:val="left" w:pos="567"/>
        </w:tabs>
        <w:ind w:left="567" w:hanging="567"/>
        <w:jc w:val="both"/>
      </w:pPr>
    </w:p>
    <w:p w14:paraId="70A4BAD2" w14:textId="21C08399">
      <w:pPr>
        <w:pStyle w:val="P68B1DB1-Heading410"/>
        <w:keepLines/>
        <w:spacing w:after="200"/>
        <w:ind w:left="1865" w:hanging="1865"/>
        <w:rPr>
          <w:rFonts w:ascii="Times New Roman Bold" w:hAnsi="Times New Roman Bold" w:cstheme="majorBidi" w:eastAsiaTheme="majorEastAsia"/>
          <w:b/>
          <w:caps/>
          <w:snapToGrid/>
        </w:rPr>
      </w:pPr>
      <w:r>
        <w:t xml:space="preserve">ЧЛЕН 11 — ПРЕКРАТЯВАНЕ НА СПОРАЗУМЕНИЕТО</w:t>
      </w:r>
    </w:p>
    <w:p w14:paraId="2B50DFEA" w14:textId="345FB23B">
      <w:pPr>
        <w:tabs>
          <w:tab w:val="left" w:pos="567"/>
        </w:tabs>
        <w:spacing w:after="120"/>
        <w:ind w:left="567" w:hanging="567"/>
        <w:jc w:val="both"/>
        <w:rPr>
          <w:sz w:val="24"/>
        </w:rPr>
        <w:pStyle w:val="BodyText"/>
      </w:pPr>
      <w:r>
        <w:t xml:space="preserve">11.1 В случай на неизпълнение от страна на участника на някое от задълженията, произтичащи от споразумението, и независимо от последиците, предвидени в приложимото законодателство, организацията има законно право да прекрати договора без допълнителни правни формалности, когато участникът не предприеме действия в рамките на един месец от получаване на уведомлението с препоръчано писмо.</w:t>
      </w:r>
    </w:p>
    <w:p w14:paraId="0A5740EA" w14:textId="786BB864">
      <w:pPr>
        <w:spacing w:after="120"/>
        <w:ind w:left="567" w:hanging="567"/>
        <w:jc w:val="both"/>
        <w:rPr>
          <w:sz w:val="24"/>
        </w:rPr>
        <w:pStyle w:val="BodyText"/>
      </w:pPr>
      <w:r>
        <w:t xml:space="preserve">11.2 В случай на прекратяване от страна на участника поради „непреодолима сила“, т.е. непредвидима, извънредна ситуация или събитие извън контрола на участника и което не се дължи на грешка или небрежност от негова страна, участникът има право да получи сумата на безвъзмездните средства, съответстваща на действителната продължителност на периода на мобилност. Всички останали средства ще трябва да бъдат възстановени.</w:t>
      </w:r>
    </w:p>
    <w:p w14:paraId="578DDB33" w14:textId="77777777">
      <w:pPr>
        <w:spacing w:after="120"/>
        <w:ind w:left="567" w:hanging="567"/>
        <w:jc w:val="both"/>
        <w:rPr>
          <w:sz w:val="24"/>
        </w:rPr>
      </w:pPr>
    </w:p>
    <w:p w14:paraId="6AD9161D" w14:textId="5D695B18">
      <w:pPr>
        <w:pStyle w:val="P68B1DB1-Heading410"/>
        <w:keepLines/>
        <w:spacing w:after="200"/>
        <w:ind w:left="1865" w:hanging="1865"/>
        <w:rPr>
          <w:rFonts w:ascii="Times New Roman Bold" w:hAnsi="Times New Roman Bold" w:cstheme="majorBidi" w:eastAsiaTheme="majorEastAsia"/>
          <w:b/>
          <w:caps/>
          <w:snapToGrid/>
        </w:rPr>
      </w:pPr>
      <w:r>
        <w:t xml:space="preserve">ЧЛЕН 12 — ПРОВЕРКИ И ОДИТИ</w:t>
      </w:r>
    </w:p>
    <w:p w14:paraId="2D777EFE" w14:textId="6C79D60B">
      <w:pPr>
        <w:tabs>
          <w:tab w:val="left" w:pos="567"/>
        </w:tabs>
        <w:ind w:left="567" w:hanging="567"/>
        <w:jc w:val="both"/>
        <w:rPr>
          <w:sz w:val="24"/>
        </w:rPr>
        <w:pStyle w:val="BodyText"/>
      </w:pPr>
      <w:r>
        <w:t>12.1</w:t>
        <w:tab/>
        <w:t xml:space="preserve">Страните по споразумението се задължават да предоставят всякаква подробна информация, поискана от Европейската комисия, националната агенция на </w:t>
      </w:r>
      <w:r>
        <w:rPr>
          <w:highlight w:val="lightGray"/>
        </w:rPr>
        <w:t>[държавата]</w:t>
      </w:r>
      <w:r>
        <w:t xml:space="preserve"> или от всеки друг външен орган, упълномощен от Европейската комисия или националната агенция на </w:t>
      </w:r>
      <w:r>
        <w:rPr>
          <w:highlight w:val="lightGray"/>
        </w:rPr>
        <w:t>[държава]</w:t>
      </w:r>
      <w:r>
        <w:t xml:space="preserve"> да проверява дали периодът на мобилност и разпоредбите на споразумението са или са били правилно имплантирани.</w:t>
      </w:r>
    </w:p>
    <w:p w14:paraId="63D2F42F" w14:textId="446213D7"/>
    <w:p w14:paraId="12BDD665" w14:textId="41C694D4">
      <w:pPr>
        <w:pStyle w:val="P68B1DB1-Heading410"/>
        <w:keepLines/>
        <w:spacing w:after="200"/>
        <w:ind w:left="1865" w:hanging="1865"/>
        <w:rPr>
          <w:rFonts w:ascii="Times New Roman Bold" w:hAnsi="Times New Roman Bold" w:cstheme="majorBidi" w:eastAsiaTheme="majorEastAsia"/>
          <w:b/>
          <w:caps/>
          <w:snapToGrid/>
        </w:rPr>
      </w:pPr>
      <w:r>
        <w:t xml:space="preserve">ЧЛЕН 13 — ОТГОВОРНОСТ</w:t>
      </w:r>
    </w:p>
    <w:p w14:paraId="503FA04A" w14:textId="1E6F2A0E">
      <w:pPr>
        <w:tabs>
          <w:tab w:val="left" w:pos="567"/>
        </w:tabs>
        <w:spacing w:after="120"/>
        <w:ind w:left="567" w:hanging="567"/>
        <w:jc w:val="both"/>
        <w:rPr>
          <w:sz w:val="24"/>
        </w:rPr>
        <w:pStyle w:val="BodyText"/>
      </w:pPr>
      <w:r>
        <w:t xml:space="preserve">13.1 </w:t>
        <w:tab/>
        <w:t xml:space="preserve">Всяка страна по настоящото споразумение ще освободи другата от всякаква гражданска отговорност за вреди, претърпени от нея или нейния персонал в резултат на изпълнението на настоящото споразумение, при условие че тези вреди не са резултат от сериозно и умишлено нарушение от страна на другата страна или на нейния персонал.</w:t>
      </w:r>
    </w:p>
    <w:p w14:paraId="5D558672" w14:textId="7A6E73A8">
      <w:pPr>
        <w:tabs>
          <w:tab w:val="left" w:pos="567"/>
        </w:tabs>
        <w:spacing w:after="120"/>
        <w:ind w:left="567" w:hanging="567"/>
        <w:jc w:val="both"/>
        <w:rPr>
          <w:sz w:val="24"/>
        </w:rPr>
        <w:pStyle w:val="BodyText"/>
      </w:pPr>
      <w:r>
        <w:t>13.2</w:t>
        <w:tab/>
        <w:t xml:space="preserve">Националната агенция на </w:t>
      </w:r>
      <w:r>
        <w:rPr>
          <w:highlight w:val="lightGray"/>
        </w:rPr>
        <w:t>[държава]</w:t>
      </w:r>
      <w:r>
        <w:t xml:space="preserve">, Европейската комисия или техните служители не носят отговорност в случай на иск съгласно споразумението, свързан с вреди, причинени по време на изпълнението на периода на мобилност. Следователно националната агенция на </w:t>
      </w:r>
      <w:r>
        <w:rPr>
          <w:highlight w:val="lightGray"/>
        </w:rPr>
        <w:t>[държавата]</w:t>
      </w:r>
      <w:r>
        <w:t xml:space="preserve"> или Европейската комисия няма да уважи искане за обезщетение за възстановяване на разходите, придружаващо такова искане. </w:t>
      </w:r>
    </w:p>
    <w:p w14:paraId="14EB61B8" w14:textId="7BCEA9DD">
      <w:pPr>
        <w:pStyle w:val="P68B1DB1-Heading410"/>
        <w:keepLines/>
        <w:spacing w:after="120"/>
        <w:ind w:left="1865" w:hanging="1865"/>
        <w:rPr>
          <w:rFonts w:ascii="Times New Roman Bold" w:hAnsi="Times New Roman Bold" w:cstheme="majorBidi" w:eastAsiaTheme="majorEastAsia"/>
          <w:b/>
          <w:caps/>
          <w:snapToGrid/>
        </w:rPr>
      </w:pPr>
      <w:r>
        <w:t xml:space="preserve">ЧЛЕН 14 — ПРИЛОЖИМО ПРАВО И КОМПЕТЕНТЕН СЪД</w:t>
      </w:r>
    </w:p>
    <w:p w14:paraId="25108485" w14:textId="571D8E85">
      <w:pPr>
        <w:tabs>
          <w:tab w:val="left" w:pos="567"/>
        </w:tabs>
        <w:spacing w:after="120"/>
        <w:ind w:left="567" w:hanging="567"/>
        <w:jc w:val="both"/>
        <w:rPr>
          <w:sz w:val="24"/>
        </w:rPr>
        <w:pStyle w:val="BodyText"/>
      </w:pPr>
      <w:r>
        <w:t>14.1</w:t>
        <w:tab/>
        <w:t xml:space="preserve">Споразумението се урежда от </w:t>
      </w:r>
      <w:r>
        <w:rPr>
          <w:highlight w:val="lightGray"/>
        </w:rPr>
        <w:t xml:space="preserve">[въведете националното законодателство на НА].</w:t>
      </w:r>
    </w:p>
    <w:p w14:paraId="05B8B065" w14:textId="5291749B">
      <w:pPr>
        <w:tabs>
          <w:tab w:val="left" w:pos="567"/>
        </w:tabs>
        <w:spacing w:after="120"/>
        <w:ind w:left="567" w:hanging="567"/>
        <w:jc w:val="both"/>
        <w:rPr>
          <w:sz w:val="24"/>
        </w:rPr>
        <w:pStyle w:val="BodyText"/>
      </w:pPr>
      <w:r>
        <w:t>14.2</w:t>
        <w:tab/>
        <w:t xml:space="preserve">Компетентният съд, определен в съответствие с приложимото национално право, ще има изключителна компетентност да разглежда всеки спор между организацията и участника относно тълкуването, прилагането или валидността на настоящото споразумение, ако този спор не може да бъде разрешен по взаимно съгласие.</w:t>
      </w:r>
    </w:p>
    <w:p w14:paraId="3F72DF72" w14:textId="3322F5CF">
      <w:pPr>
        <w:jc w:val="both"/>
        <w:rPr>
          <w:b/>
        </w:rPr>
      </w:pPr>
    </w:p>
    <w:p w14:paraId="34F2F88C" w14:textId="77777777">
      <w:pPr>
        <w:jc w:val="both"/>
        <w:rPr>
          <w:b/>
          <w:sz w:val="24"/>
        </w:rPr>
      </w:pPr>
    </w:p>
    <w:p w14:paraId="6835EE6B" w14:textId="77777777">
      <w:pPr>
        <w:ind w:left="5812" w:hanging="5812"/>
        <w:rPr>
          <w:sz w:val="24"/>
        </w:rPr>
        <w:pStyle w:val="P68B1DB1-Normal2"/>
      </w:pPr>
      <w:r>
        <w:t>ПОДПИСИ</w:t>
      </w:r>
    </w:p>
    <w:p w14:paraId="78087DB9" w14:textId="77777777">
      <w:pPr>
        <w:ind w:left="5812" w:hanging="5812"/>
        <w:rPr>
          <w:sz w:val="24"/>
        </w:rPr>
      </w:pPr>
    </w:p>
    <w:p w14:paraId="78CC0FE6" w14:textId="77777777">
      <w:pPr>
        <w:tabs>
          <w:tab w:val="left" w:pos="5670"/>
        </w:tabs>
        <w:rPr>
          <w:sz w:val="24"/>
        </w:rPr>
        <w:pStyle w:val="P68B1DB1-Normal2"/>
      </w:pPr>
      <w:r>
        <w:t xml:space="preserve">За участника</w:t>
        <w:tab/>
        <w:t xml:space="preserve">За организацията</w:t>
      </w:r>
    </w:p>
    <w:p w14:paraId="478AE7C2" w14:textId="77777777">
      <w:pPr>
        <w:tabs>
          <w:tab w:val="left" w:pos="5670"/>
        </w:tabs>
        <w:rPr>
          <w:sz w:val="24"/>
          <w:highlight w:val="lightGray"/>
        </w:rPr>
        <w:pStyle w:val="P68B1DB1-Normal2"/>
      </w:pPr>
      <w:r>
        <w:rPr>
          <w:highlight w:val="lightGray"/>
        </w:rPr>
        <w:t>[име/име</w:t>
      </w:r>
      <w:r>
        <w:t>]</w:t>
        <w:tab/>
      </w:r>
      <w:r>
        <w:rPr>
          <w:highlight w:val="lightGray"/>
        </w:rPr>
        <w:t>[име/име/длъжност]</w:t>
      </w:r>
    </w:p>
    <w:p w14:paraId="36E9EB66" w14:textId="77777777">
      <w:pPr>
        <w:tabs>
          <w:tab w:val="left" w:pos="5670"/>
        </w:tabs>
        <w:ind w:left="5812" w:hanging="5812"/>
        <w:rPr>
          <w:sz w:val="24"/>
          <w:highlight w:val="lightGray"/>
        </w:rPr>
      </w:pPr>
    </w:p>
    <w:p w14:paraId="46F86D70" w14:textId="77777777">
      <w:pPr>
        <w:tabs>
          <w:tab w:val="left" w:pos="5670"/>
        </w:tabs>
        <w:ind w:left="5812" w:hanging="5812"/>
        <w:rPr>
          <w:sz w:val="24"/>
        </w:rPr>
        <w:pStyle w:val="P68B1DB1-Normal2"/>
      </w:pPr>
      <w:r>
        <w:rPr>
          <w:highlight w:val="lightGray"/>
        </w:rPr>
        <w:t>[подпис]</w:t>
      </w:r>
      <w:r>
        <w:tab/>
      </w:r>
      <w:r>
        <w:rPr>
          <w:highlight w:val="lightGray"/>
        </w:rPr>
        <w:t>[подпис]</w:t>
      </w:r>
    </w:p>
    <w:p w14:paraId="438B432B" w14:textId="77777777">
      <w:pPr>
        <w:tabs>
          <w:tab w:val="left" w:pos="5670"/>
        </w:tabs>
        <w:rPr>
          <w:sz w:val="24"/>
        </w:rPr>
      </w:pPr>
    </w:p>
    <w:p w14:paraId="509CAE86" w14:textId="77777777">
      <w:pPr>
        <w:tabs>
          <w:tab w:val="left" w:pos="5670"/>
        </w:tabs>
        <w:rPr>
          <w:sz w:val="24"/>
        </w:rPr>
        <w:pStyle w:val="P68B1DB1-Normal2"/>
      </w:pPr>
      <w:r>
        <w:t xml:space="preserve">Съставено в [</w:t>
      </w:r>
      <w:r>
        <w:rPr>
          <w:highlight w:val="lightGray"/>
        </w:rPr>
        <w:t>място</w:t>
      </w:r>
      <w:r>
        <w:t xml:space="preserve">], [</w:t>
      </w:r>
      <w:r>
        <w:rPr>
          <w:highlight w:val="lightGray"/>
        </w:rPr>
        <w:t>дата</w:t>
      </w:r>
      <w:r>
        <w:t>]</w:t>
        <w:tab/>
        <w:t xml:space="preserve">Съставено в [</w:t>
      </w:r>
      <w:r>
        <w:rPr>
          <w:highlight w:val="lightGray"/>
        </w:rPr>
        <w:t>място</w:t>
      </w:r>
      <w:r>
        <w:t xml:space="preserve">], [</w:t>
      </w:r>
      <w:r>
        <w:rPr>
          <w:highlight w:val="lightGray"/>
        </w:rPr>
        <w:t>дата</w:t>
      </w:r>
      <w:r>
        <w:t>]</w:t>
      </w:r>
    </w:p>
    <w:p w14:paraId="267D8A30" w14:textId="77777777">
      <w:pPr>
        <w:tabs>
          <w:tab w:val="left" w:pos="5670"/>
        </w:tabs>
        <w:rPr>
          <w:sz w:val="24"/>
        </w:rPr>
      </w:pPr>
    </w:p>
    <w:p w14:paraId="25A0533E" w14:textId="307B3E66">
      <w:pPr>
        <w:rPr>
          <w:sz w:val="24"/>
        </w:rPr>
      </w:pPr>
    </w:p>
    <w:p w14:paraId="23BC929D" w14:textId="77777777">
      <w:pPr>
        <w:tabs>
          <w:tab w:val="left" w:pos="5670"/>
        </w:tabs>
        <w:rPr>
          <w:sz w:val="24"/>
        </w:rPr>
      </w:pPr>
    </w:p>
    <w:p w14:paraId="2313D1EC" w14:textId="21CAB28C">
      <w:pPr>
        <w:tabs>
          <w:tab w:val="left" w:pos="1701"/>
        </w:tabs>
        <w:jc w:val="center"/>
        <w:rPr>
          <w:b/>
          <w:sz w:val="24"/>
        </w:rPr>
        <w:pStyle w:val="P68B1DB1-Normal6"/>
      </w:pPr>
      <w:r>
        <w:t>Приложение</w:t>
      </w:r>
    </w:p>
    <w:p w14:paraId="3A79DD71" w14:textId="77777777">
      <w:pPr>
        <w:tabs>
          <w:tab w:val="left" w:pos="1701"/>
        </w:tabs>
        <w:jc w:val="center"/>
        <w:rPr>
          <w:sz w:val="16"/>
        </w:rPr>
      </w:pPr>
    </w:p>
    <w:p w14:paraId="7031182E" w14:textId="77777777">
      <w:pPr>
        <w:tabs>
          <w:tab w:val="left" w:pos="1701"/>
        </w:tabs>
        <w:ind w:left="1701" w:hanging="1701"/>
        <w:jc w:val="center"/>
        <w:rPr>
          <w:b/>
          <w:sz w:val="24"/>
        </w:rPr>
        <w:pStyle w:val="P68B1DB1-Normal6"/>
      </w:pPr>
      <w:r>
        <w:t xml:space="preserve">Споразумение за обучение</w:t>
      </w:r>
    </w:p>
    <w:p w14:paraId="26799EA3" w14:textId="77777777">
      <w:pPr>
        <w:tabs>
          <w:tab w:val="left" w:pos="5670"/>
        </w:tabs>
        <w:jc w:val="center"/>
        <w:rPr>
          <w:b/>
          <w:sz w:val="16"/>
        </w:rPr>
      </w:pPr>
    </w:p>
    <w:p w14:paraId="22C7ABDB" w14:textId="77777777">
      <w:pPr>
        <w:tabs>
          <w:tab w:val="left" w:pos="5670"/>
        </w:tabs>
        <w:rPr>
          <w:b/>
          <w:sz w:val="16"/>
        </w:rPr>
      </w:pPr>
    </w:p>
    <w:p w14:paraId="6118C5D3" w14:textId="5C3D930D">
      <w:pPr>
        <w:tabs>
          <w:tab w:val="left" w:pos="5670"/>
        </w:tabs>
        <w:jc w:val="both"/>
        <w:rPr>
          <w:sz w:val="24"/>
          <w:highlight w:val="yellow"/>
        </w:rPr>
        <w:pStyle w:val="P68B1DB1-Normal3"/>
      </w:pPr>
      <w:r>
        <w:t xml:space="preserve">Бенефициерът може да изготви споразумение за обучение или да използва образец, предоставен от Европейската комисия или националната агенция. </w:t>
      </w:r>
    </w:p>
    <w:p w14:paraId="0E6A249E" w14:textId="77777777">
      <w:pPr>
        <w:tabs>
          <w:tab w:val="left" w:pos="5670"/>
        </w:tabs>
        <w:jc w:val="both"/>
        <w:rPr>
          <w:sz w:val="24"/>
          <w:highlight w:val="yellow"/>
        </w:rPr>
      </w:pPr>
    </w:p>
    <w:p w14:paraId="190B89A2" w14:textId="77777777">
      <w:pPr>
        <w:tabs>
          <w:tab w:val="left" w:pos="5670"/>
        </w:tabs>
        <w:jc w:val="both"/>
        <w:rPr>
          <w:sz w:val="24"/>
          <w:highlight w:val="yellow"/>
        </w:rPr>
        <w:pStyle w:val="P68B1DB1-Normal3"/>
      </w:pPr>
      <w:r>
        <w:t xml:space="preserve">Като минимум всяко споразумение за обучение ще съдържа следните елементи: </w:t>
      </w:r>
    </w:p>
    <w:p w14:paraId="6AABC339" w14:textId="77777777">
      <w:pPr>
        <w:tabs>
          <w:tab w:val="left" w:pos="5670"/>
        </w:tabs>
        <w:jc w:val="both"/>
        <w:rPr>
          <w:sz w:val="24"/>
          <w:highlight w:val="yellow"/>
        </w:rPr>
      </w:pPr>
    </w:p>
    <w:p w14:paraId="5A6D4476" w14:textId="77777777">
      <w:pPr>
        <w:pStyle w:val="P68B1DB1-ListParagraph11"/>
        <w:numPr>
          <w:ilvl w:val="0"/>
          <w:numId w:val="11"/>
        </w:numPr>
        <w:tabs>
          <w:tab w:val="left" w:pos="5670"/>
        </w:tabs>
        <w:jc w:val="both"/>
        <w:rPr>
          <w:sz w:val="24"/>
          <w:highlight w:val="yellow"/>
        </w:rPr>
      </w:pPr>
      <w:r>
        <w:t xml:space="preserve">Споразумението за обучение е договорено и подписано от три основни страни: участникът (или неговият законен настойник), изпращащата организация и приемащата организация</w:t>
      </w:r>
    </w:p>
    <w:p w14:paraId="2CE84C25" w14:textId="77777777">
      <w:pPr>
        <w:pStyle w:val="P68B1DB1-ListParagraph11"/>
        <w:numPr>
          <w:ilvl w:val="0"/>
          <w:numId w:val="11"/>
        </w:numPr>
        <w:tabs>
          <w:tab w:val="left" w:pos="5670"/>
        </w:tabs>
        <w:jc w:val="both"/>
        <w:rPr>
          <w:sz w:val="24"/>
          <w:highlight w:val="yellow"/>
        </w:rPr>
      </w:pPr>
      <w:r>
        <w:t xml:space="preserve">Информация за мобилността с учебна цел, включително: образователна област, вид дейност, режим (физически, виртуален или смесен), начална и крайна дата</w:t>
      </w:r>
    </w:p>
    <w:p w14:paraId="66BDE2C8" w14:textId="77777777">
      <w:pPr>
        <w:pStyle w:val="P68B1DB1-ListParagraph11"/>
        <w:numPr>
          <w:ilvl w:val="0"/>
          <w:numId w:val="11"/>
        </w:numPr>
        <w:jc w:val="both"/>
        <w:rPr>
          <w:sz w:val="24"/>
          <w:highlight w:val="yellow"/>
        </w:rPr>
      </w:pPr>
      <w:r>
        <w:t xml:space="preserve">Информация за учебната програма, в която участникът е записан в изпращащата организация (в случай на учащи) или текущата им работа (в случай на персонал)</w:t>
      </w:r>
    </w:p>
    <w:p w14:paraId="1DB20D77" w14:textId="77777777">
      <w:pPr>
        <w:pStyle w:val="P68B1DB1-ListParagraph11"/>
        <w:numPr>
          <w:ilvl w:val="0"/>
          <w:numId w:val="11"/>
        </w:numPr>
        <w:jc w:val="both"/>
        <w:rPr>
          <w:sz w:val="24"/>
          <w:highlight w:val="yellow"/>
        </w:rPr>
      </w:pPr>
      <w:r>
        <w:t xml:space="preserve">Списък и описание на очакваните резултати от обучението</w:t>
      </w:r>
    </w:p>
    <w:p w14:paraId="52BB5CE8" w14:textId="77777777">
      <w:pPr>
        <w:pStyle w:val="P68B1DB1-ListParagraph11"/>
        <w:numPr>
          <w:ilvl w:val="0"/>
          <w:numId w:val="11"/>
        </w:numPr>
        <w:jc w:val="both"/>
        <w:rPr>
          <w:sz w:val="24"/>
          <w:highlight w:val="yellow"/>
        </w:rPr>
      </w:pPr>
      <w:r>
        <w:t xml:space="preserve">Учебната програма и задачите на участника в приемащата организация</w:t>
      </w:r>
    </w:p>
    <w:p w14:paraId="78E7FF7A" w14:textId="77777777">
      <w:pPr>
        <w:pStyle w:val="P68B1DB1-ListParagraph11"/>
        <w:numPr>
          <w:ilvl w:val="0"/>
          <w:numId w:val="11"/>
        </w:numPr>
        <w:jc w:val="both"/>
        <w:rPr>
          <w:sz w:val="24"/>
          <w:highlight w:val="yellow"/>
        </w:rPr>
      </w:pPr>
      <w:r>
        <w:t xml:space="preserve">Механизми за наблюдение, наставничество и подкрепа и отговорни лица в приемащите и изпращащите организации</w:t>
      </w:r>
    </w:p>
    <w:p w14:paraId="7740EB4B" w14:textId="77777777">
      <w:pPr>
        <w:pStyle w:val="P68B1DB1-ListParagraph11"/>
        <w:numPr>
          <w:ilvl w:val="0"/>
          <w:numId w:val="11"/>
        </w:numPr>
        <w:jc w:val="both"/>
        <w:rPr>
          <w:sz w:val="24"/>
          <w:highlight w:val="yellow"/>
        </w:rPr>
      </w:pPr>
      <w:r>
        <w:t xml:space="preserve">Описание на формата, критериите и процедурите за оценка на резултатите от обучението</w:t>
      </w:r>
    </w:p>
    <w:p w14:paraId="108FA5BE" w14:textId="77777777">
      <w:pPr>
        <w:pStyle w:val="P68B1DB1-ListParagraph11"/>
        <w:numPr>
          <w:ilvl w:val="0"/>
          <w:numId w:val="11"/>
        </w:numPr>
        <w:jc w:val="both"/>
        <w:rPr>
          <w:sz w:val="24"/>
          <w:highlight w:val="yellow"/>
        </w:rPr>
      </w:pPr>
      <w:r>
        <w:t xml:space="preserve">Описание на условията и процеса за признаване на резултатите от обучението, както и на документите, които трябва да бъдат издадени от изпращащата или приемащата организация, за да се гарантира, че признаването е завършено</w:t>
      </w:r>
    </w:p>
    <w:p w14:paraId="2DE4FAB7" w14:textId="183D7CEE">
      <w:pPr>
        <w:pStyle w:val="P68B1DB1-ListParagraph12"/>
        <w:numPr>
          <w:ilvl w:val="0"/>
          <w:numId w:val="11"/>
        </w:numPr>
        <w:tabs>
          <w:tab w:val="left" w:pos="1701"/>
        </w:tabs>
        <w:jc w:val="both"/>
        <w:rPr>
          <w:highlight w:val="yellow"/>
        </w:rPr>
      </w:pPr>
      <w:r>
        <w:rPr>
          <w:sz w:val="24"/>
        </w:rPr>
        <w:t xml:space="preserve">В случай на мобилност за учащи се — информация за това как те ще бъдат реинтегрирани в изпращащата организация при завръщането им от периода на мобилност</w:t>
      </w:r>
      <w:r>
        <w:t xml:space="preserve">  </w:t>
      </w:r>
    </w:p>
    <w:p w14:paraId="7637FF63" w14:textId="77777777">
      <w:pPr>
        <w:pStyle w:val="ListParagraph"/>
        <w:numPr>
          <w:ilvl w:val="0"/>
          <w:numId w:val="11"/>
        </w:numPr>
        <w:tabs>
          <w:tab w:val="left" w:pos="1701"/>
        </w:tabs>
        <w:jc w:val="both"/>
        <w:rPr>
          <w:highlight w:val="yellow"/>
        </w:rPr>
        <w:sectPr w:rsidR="00AD547D" w:rsidSect="009A6788">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418" w:header="720" w:footer="720" w:gutter="0"/>
          <w:cols w:space="720"/>
          <w:titlePg/>
        </w:sectPr>
      </w:pPr>
    </w:p>
    <w:p w14:paraId="7C579DDD" w14:textId="77777777">
      <w:pPr>
        <w:tabs>
          <w:tab w:val="left" w:pos="1701"/>
        </w:tabs>
        <w:jc w:val="both"/>
        <w:rPr>
          <w:b/>
        </w:rPr>
      </w:pPr>
    </w:p>
    <w:sectPr>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AC327" w16cex:dateUtc="2023-03-14T08:55:00Z"/>
  <w16cex:commentExtensible w16cex:durableId="27BAC402" w16cex:dateUtc="2023-03-14T08:59:00Z"/>
  <w16cex:commentExtensible w16cex:durableId="27BAC59D" w16cex:dateUtc="2023-03-14T09:06:00Z"/>
  <w16cex:commentExtensible w16cex:durableId="27BAC624" w16cex:dateUtc="2023-03-14T09:08:00Z"/>
  <w16cex:commentExtensible w16cex:durableId="27BABC9C" w16cex:dateUtc="2023-03-14T08:27:00Z"/>
  <w16cex:commentExtensible w16cex:durableId="27BAC730" w16cex:dateUtc="2023-03-14T09:13:00Z"/>
  <w16cex:commentExtensible w16cex:durableId="27BAC7BB" w16cex:dateUtc="2023-03-14T09:15:00Z"/>
  <w16cex:commentExtensible w16cex:durableId="27BABD8D" w16cex:dateUtc="2023-03-14T08:31:00Z"/>
  <w16cex:commentExtensible w16cex:durableId="27BAC8D3" w16cex:dateUtc="2023-03-14T09:20:00Z"/>
  <w16cex:commentExtensible w16cex:durableId="27BAC843" w16cex:dateUtc="2023-03-14T09:17:00Z"/>
  <w16cex:commentExtensible w16cex:durableId="27BAC980" w16cex:dateUtc="2023-03-14T09:22:00Z"/>
  <w16cex:commentExtensible w16cex:durableId="27BAC9CA" w16cex:dateUtc="2023-03-14T09:24:00Z"/>
  <w16cex:commentExtensible w16cex:durableId="27BAC9FF" w16cex:dateUtc="2023-03-14T09:25:00Z"/>
  <w16cex:commentExtensible w16cex:durableId="27BACC07" w16cex:dateUtc="2023-03-14T09:33:00Z"/>
  <w16cex:commentExtensible w16cex:durableId="27BACC67" w16cex:dateUtc="2023-03-14T09:35:00Z"/>
  <w16cex:commentExtensible w16cex:durableId="27BACC99" w16cex:dateUtc="2023-03-14T09:36:00Z"/>
  <w16cex:commentExtensible w16cex:durableId="27BACE09" w16cex:dateUtc="2023-03-14T09:42:00Z"/>
  <w16cex:commentExtensible w16cex:durableId="27BAD30E" w16cex:dateUtc="2023-03-14T10:03:00Z"/>
  <w16cex:commentExtensible w16cex:durableId="27BAD38F" w16cex:dateUtc="2023-03-14T10:05:00Z"/>
  <w16cex:commentExtensible w16cex:durableId="27BAD3AD" w16cex:dateUtc="2023-03-14T10:06:00Z"/>
  <w16cex:commentExtensible w16cex:durableId="27BAD3F6" w16cex:dateUtc="2023-03-14T1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AC75FF" w16cid:durableId="27BAC327"/>
  <w16cid:commentId w16cid:paraId="1C88EF8E" w16cid:durableId="27BAC402"/>
  <w16cid:commentId w16cid:paraId="03871194" w16cid:durableId="27BAC59D"/>
  <w16cid:commentId w16cid:paraId="00A5EE61" w16cid:durableId="27BAC624"/>
  <w16cid:commentId w16cid:paraId="33169AC4" w16cid:durableId="27BABC9C"/>
  <w16cid:commentId w16cid:paraId="7F3F1300" w16cid:durableId="27BAC730"/>
  <w16cid:commentId w16cid:paraId="799B3B50" w16cid:durableId="27BAC7BB"/>
  <w16cid:commentId w16cid:paraId="69869850" w16cid:durableId="27BABC37"/>
  <w16cid:commentId w16cid:paraId="7942D352" w16cid:durableId="27BABC38"/>
  <w16cid:commentId w16cid:paraId="38BD252B" w16cid:durableId="27BABD8D"/>
  <w16cid:commentId w16cid:paraId="190ADBFB" w16cid:durableId="27BAC8D3"/>
  <w16cid:commentId w16cid:paraId="31111DAE" w16cid:durableId="27BAC843"/>
  <w16cid:commentId w16cid:paraId="092A2065" w16cid:durableId="27BABC39"/>
  <w16cid:commentId w16cid:paraId="31630EB8" w16cid:durableId="27BAC980"/>
  <w16cid:commentId w16cid:paraId="068EFCBA" w16cid:durableId="27BABC3A"/>
  <w16cid:commentId w16cid:paraId="4B294BBD" w16cid:durableId="27BABC3B"/>
  <w16cid:commentId w16cid:paraId="778F5918" w16cid:durableId="27BAC9CA"/>
  <w16cid:commentId w16cid:paraId="6C6A06BE" w16cid:durableId="27BABC3C"/>
  <w16cid:commentId w16cid:paraId="4FB4EFB7" w16cid:durableId="27BAC9FF"/>
  <w16cid:commentId w16cid:paraId="0F220BB8" w16cid:durableId="27BACC07"/>
  <w16cid:commentId w16cid:paraId="69E5382C" w16cid:durableId="27BACC67"/>
  <w16cid:commentId w16cid:paraId="46B3E437" w16cid:durableId="27BACC99"/>
  <w16cid:commentId w16cid:paraId="415C2823" w16cid:durableId="27BABC3D"/>
  <w16cid:commentId w16cid:paraId="1E3AEF12" w16cid:durableId="27BABC3E"/>
  <w16cid:commentId w16cid:paraId="0DE0EA65" w16cid:durableId="27BACE09"/>
  <w16cid:commentId w16cid:paraId="616A017A" w16cid:durableId="27BAD30E"/>
  <w16cid:commentId w16cid:paraId="7E880596" w16cid:durableId="27BABC3F"/>
  <w16cid:commentId w16cid:paraId="5413D7CE" w16cid:durableId="27BABC40"/>
  <w16cid:commentId w16cid:paraId="6C4CCDD8" w16cid:durableId="27BAD38F"/>
  <w16cid:commentId w16cid:paraId="6525FD6D" w16cid:durableId="27BAD3AD"/>
  <w16cid:commentId w16cid:paraId="3ED32BCC" w16cid:durableId="27BABC41"/>
  <w16cid:commentId w16cid:paraId="7FE594D0" w16cid:durableId="27BABC42"/>
  <w16cid:commentId w16cid:paraId="6C43D94D" w16cid:durableId="27BABC43"/>
  <w16cid:commentId w16cid:paraId="1F4C6A0B" w16cid:durableId="27BAD3F6"/>
  <w16cid:commentId w16cid:paraId="25D899E2" w16cid:durableId="27BABC4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5B545" w14:textId="77777777">
      <w:r>
        <w:separator/>
      </w:r>
    </w:p>
  </w:endnote>
  <w:endnote w:type="continuationSeparator" w:id="0">
    <w:p w14:paraId="0C3D876D" w14:textId="77777777">
      <w:r>
        <w:continuationSeparator/>
      </w:r>
    </w:p>
  </w:endnote>
  <w:endnote w:type="continuationNotice" w:id="1">
    <w:p w14:paraId="0789DBF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97C25"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178C4FDD" w14:textId="7777777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72B2B" w14:textId="73BA689C">
    <w:pPr>
      <w:pStyle w:val="Footer"/>
      <w:framePr w:wrap="around" w:vAnchor="text" w:hAnchor="page" w:x="5482" w:y="13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14:paraId="03CFF7A7" w14:textId="77777777">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C43FB" w14:textId="77777777">
    <w:pPr>
      <w:pStyle w:val="P68B1DB1-Footer14"/>
      <w:jc w:val="center"/>
      <w:rPr>
        <w:rFonts w:ascii="Arial" w:hAnsi="Arial" w:cs="Arial"/>
        <w:sz w:val="16"/>
      </w:rPr>
    </w:pPr>
    <w:r>
      <w:t>1</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4C50D" w14:textId="505171C0">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14:paraId="568873F7" w14:textId="54D40A1B">
    <w:pPr>
      <w:pStyle w:val="Footer"/>
      <w:tabs>
        <w:tab w:val="left" w:pos="2095"/>
      </w:tabs>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50E32" w14:textId="77777777">
      <w:r>
        <w:separator/>
      </w:r>
    </w:p>
  </w:footnote>
  <w:footnote w:type="continuationSeparator" w:id="0">
    <w:p w14:paraId="1F7DB311" w14:textId="77777777">
      <w:r>
        <w:continuationSeparator/>
      </w:r>
    </w:p>
  </w:footnote>
  <w:footnote w:type="continuationNotice" w:id="1">
    <w:p w14:paraId="46E80615" w14:textId="77777777"/>
  </w:footnote>
  <w:footnote w:id="2">
    <w:p w14:paraId="76609058" w14:textId="6B533D0A">
      <w:pPr>
        <w:pStyle w:val="FootnoteText"/>
        <w:ind w:left="0" w:firstLine="0"/>
      </w:pPr>
      <w:r>
        <w:footnoteRef/>
        <w:t xml:space="preserve">Не е задължително да се разпространяват документи с оригинални подписи за приложението към настоящото споразумение: сканирани копия на подписи и електронни подписи могат да бъдат приемани в зависимост от националното законодателство.</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100E2" w14:textId="7777777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C2815" w14:textId="7777777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F8E47" w14:textId="51358952">
    <w:pPr>
      <w:pStyle w:val="P68B1DB1-Header13"/>
      <w:rPr>
        <w:rFonts w:ascii="Arial Narrow" w:hAnsi="Arial Narrow" w:cs="Arial"/>
        <w:sz w:val="18"/>
        <w:u w:val="single"/>
      </w:rPr>
    </w:pPr>
    <w:r>
      <w:t xml:space="preserve">Споразумение за отпускане на безвъзмездни средства за участници по „Еразъм+“ — индивидуална мобилност </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2E8F3" w14:textId="777777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5"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7"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8"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2"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5"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7" w15:restartNumberingAfterBreak="0">
    <w:nsid w:val="5FDC414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1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2"/>
  </w:num>
  <w:num w:numId="2">
    <w:abstractNumId w:val="6"/>
  </w:num>
  <w:num w:numId="3">
    <w:abstractNumId w:val="9"/>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0"/>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10"/>
  </w:num>
  <w:num w:numId="10">
    <w:abstractNumId w:val="1"/>
  </w:num>
  <w:num w:numId="11">
    <w:abstractNumId w:val="3"/>
  </w:num>
  <w:num w:numId="12">
    <w:abstractNumId w:val="12"/>
  </w:num>
  <w:num w:numId="13">
    <w:abstractNumId w:val="14"/>
  </w:num>
  <w:num w:numId="14">
    <w:abstractNumId w:val="5"/>
  </w:num>
  <w:num w:numId="15">
    <w:abstractNumId w:val="15"/>
  </w:num>
  <w:num w:numId="16">
    <w:abstractNumId w:val="17"/>
  </w:num>
  <w:num w:numId="17">
    <w:abstractNumId w:val="4"/>
  </w:num>
  <w:num w:numId="18">
    <w:abstractNumId w:val="11"/>
  </w:num>
  <w:num w:numId="19">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en-GB" w:vendorID="64" w:dllVersion="131078" w:nlCheck="1" w:checkStyle="0"/>
  <w:activeWritingStyle w:appName="MSWord" w:lang="fr-BE" w:vendorID="64" w:dllVersion="131078" w:nlCheck="1" w:checkStyle="0"/>
  <w:activeWritingStyle w:appName="MSWord" w:lang="en-IE" w:vendorID="64" w:dllVersion="131078" w:nlCheck="1" w:checkStyle="0"/>
  <w:activeWritingStyle w:appName="MSWord" w:lang="pt-PT"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nl-B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131073"/>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36C2"/>
    <w:rsid w:val="00034F7C"/>
    <w:rsid w:val="00040EC0"/>
    <w:rsid w:val="0004235D"/>
    <w:rsid w:val="0004400C"/>
    <w:rsid w:val="0004496A"/>
    <w:rsid w:val="00045C16"/>
    <w:rsid w:val="00047CBC"/>
    <w:rsid w:val="00050236"/>
    <w:rsid w:val="00054769"/>
    <w:rsid w:val="000565D0"/>
    <w:rsid w:val="00061712"/>
    <w:rsid w:val="00065470"/>
    <w:rsid w:val="0006734A"/>
    <w:rsid w:val="00067DF7"/>
    <w:rsid w:val="0007638B"/>
    <w:rsid w:val="000771D1"/>
    <w:rsid w:val="000810D2"/>
    <w:rsid w:val="0008321F"/>
    <w:rsid w:val="00083486"/>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17B7D"/>
    <w:rsid w:val="00123387"/>
    <w:rsid w:val="00123CAA"/>
    <w:rsid w:val="0012428E"/>
    <w:rsid w:val="00126666"/>
    <w:rsid w:val="00127D9B"/>
    <w:rsid w:val="00134680"/>
    <w:rsid w:val="00136B3A"/>
    <w:rsid w:val="00137EB2"/>
    <w:rsid w:val="00140BEF"/>
    <w:rsid w:val="00140F2C"/>
    <w:rsid w:val="001412B6"/>
    <w:rsid w:val="00143C93"/>
    <w:rsid w:val="00151597"/>
    <w:rsid w:val="00153C54"/>
    <w:rsid w:val="00155E95"/>
    <w:rsid w:val="0016070A"/>
    <w:rsid w:val="00162B2C"/>
    <w:rsid w:val="00164A3F"/>
    <w:rsid w:val="001651E3"/>
    <w:rsid w:val="00165EEA"/>
    <w:rsid w:val="0017079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6D10"/>
    <w:rsid w:val="001A7791"/>
    <w:rsid w:val="001B0D5D"/>
    <w:rsid w:val="001B1BEF"/>
    <w:rsid w:val="001B250D"/>
    <w:rsid w:val="001B253D"/>
    <w:rsid w:val="001B36F1"/>
    <w:rsid w:val="001C03FA"/>
    <w:rsid w:val="001C10CB"/>
    <w:rsid w:val="001C171A"/>
    <w:rsid w:val="001C22C7"/>
    <w:rsid w:val="001C23A9"/>
    <w:rsid w:val="001C359A"/>
    <w:rsid w:val="001C50DB"/>
    <w:rsid w:val="001C5BA4"/>
    <w:rsid w:val="001C7D24"/>
    <w:rsid w:val="001D2918"/>
    <w:rsid w:val="001D2957"/>
    <w:rsid w:val="001D3D5A"/>
    <w:rsid w:val="001D5160"/>
    <w:rsid w:val="001D5470"/>
    <w:rsid w:val="001E1465"/>
    <w:rsid w:val="001E21D0"/>
    <w:rsid w:val="001E2F88"/>
    <w:rsid w:val="001E44FB"/>
    <w:rsid w:val="001E7774"/>
    <w:rsid w:val="001E7D9A"/>
    <w:rsid w:val="001F077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67E1"/>
    <w:rsid w:val="00246E6D"/>
    <w:rsid w:val="00247AED"/>
    <w:rsid w:val="00251990"/>
    <w:rsid w:val="00254A5F"/>
    <w:rsid w:val="002562E5"/>
    <w:rsid w:val="002570DE"/>
    <w:rsid w:val="002618A8"/>
    <w:rsid w:val="0026242A"/>
    <w:rsid w:val="00263097"/>
    <w:rsid w:val="00265EB8"/>
    <w:rsid w:val="00266434"/>
    <w:rsid w:val="002714DF"/>
    <w:rsid w:val="00273228"/>
    <w:rsid w:val="0027564B"/>
    <w:rsid w:val="0027675B"/>
    <w:rsid w:val="002817C0"/>
    <w:rsid w:val="00282AAC"/>
    <w:rsid w:val="00282D8C"/>
    <w:rsid w:val="00283380"/>
    <w:rsid w:val="002833DB"/>
    <w:rsid w:val="00283FFD"/>
    <w:rsid w:val="00284185"/>
    <w:rsid w:val="00284AC1"/>
    <w:rsid w:val="00286FCA"/>
    <w:rsid w:val="00287457"/>
    <w:rsid w:val="00291F41"/>
    <w:rsid w:val="00293AD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20B2"/>
    <w:rsid w:val="00353ED3"/>
    <w:rsid w:val="00354C9C"/>
    <w:rsid w:val="00355362"/>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4255"/>
    <w:rsid w:val="00377CA7"/>
    <w:rsid w:val="00380C8E"/>
    <w:rsid w:val="0038107B"/>
    <w:rsid w:val="00381B58"/>
    <w:rsid w:val="003823D4"/>
    <w:rsid w:val="00382CDF"/>
    <w:rsid w:val="003834FE"/>
    <w:rsid w:val="00383559"/>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5095"/>
    <w:rsid w:val="003E7270"/>
    <w:rsid w:val="003F2CF2"/>
    <w:rsid w:val="003F5234"/>
    <w:rsid w:val="00400C14"/>
    <w:rsid w:val="00401A4E"/>
    <w:rsid w:val="0040237B"/>
    <w:rsid w:val="00402A0B"/>
    <w:rsid w:val="00402E5A"/>
    <w:rsid w:val="0040493A"/>
    <w:rsid w:val="00405B0F"/>
    <w:rsid w:val="00407F54"/>
    <w:rsid w:val="00410D9B"/>
    <w:rsid w:val="00411220"/>
    <w:rsid w:val="00412CD1"/>
    <w:rsid w:val="004163A6"/>
    <w:rsid w:val="00416966"/>
    <w:rsid w:val="00421299"/>
    <w:rsid w:val="0042197C"/>
    <w:rsid w:val="0042577D"/>
    <w:rsid w:val="00425895"/>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323C"/>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E6F"/>
    <w:rsid w:val="004E678E"/>
    <w:rsid w:val="004F2E5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43BA"/>
    <w:rsid w:val="00554628"/>
    <w:rsid w:val="00554E35"/>
    <w:rsid w:val="00555482"/>
    <w:rsid w:val="00560B13"/>
    <w:rsid w:val="0056316C"/>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34540"/>
    <w:rsid w:val="006410BB"/>
    <w:rsid w:val="0064265F"/>
    <w:rsid w:val="00643709"/>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4E6C"/>
    <w:rsid w:val="006663E4"/>
    <w:rsid w:val="00666521"/>
    <w:rsid w:val="0066654B"/>
    <w:rsid w:val="00667CAF"/>
    <w:rsid w:val="0067005F"/>
    <w:rsid w:val="00671045"/>
    <w:rsid w:val="006720F0"/>
    <w:rsid w:val="0067458B"/>
    <w:rsid w:val="00674B7A"/>
    <w:rsid w:val="0068073E"/>
    <w:rsid w:val="0068370C"/>
    <w:rsid w:val="00683F79"/>
    <w:rsid w:val="00690D2B"/>
    <w:rsid w:val="00692A21"/>
    <w:rsid w:val="0069379A"/>
    <w:rsid w:val="00696D8D"/>
    <w:rsid w:val="006973AD"/>
    <w:rsid w:val="00697906"/>
    <w:rsid w:val="006A4001"/>
    <w:rsid w:val="006A5D6E"/>
    <w:rsid w:val="006A7FC4"/>
    <w:rsid w:val="006B136B"/>
    <w:rsid w:val="006B2A0D"/>
    <w:rsid w:val="006B6046"/>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300E"/>
    <w:rsid w:val="006F3FB7"/>
    <w:rsid w:val="006F4714"/>
    <w:rsid w:val="006F6F27"/>
    <w:rsid w:val="00700601"/>
    <w:rsid w:val="007021B2"/>
    <w:rsid w:val="00704355"/>
    <w:rsid w:val="007043E6"/>
    <w:rsid w:val="007056DB"/>
    <w:rsid w:val="00706D64"/>
    <w:rsid w:val="007078D2"/>
    <w:rsid w:val="00710BD5"/>
    <w:rsid w:val="007123CA"/>
    <w:rsid w:val="00712CFB"/>
    <w:rsid w:val="00717E5C"/>
    <w:rsid w:val="0072221F"/>
    <w:rsid w:val="00723C4C"/>
    <w:rsid w:val="00723F7E"/>
    <w:rsid w:val="00725208"/>
    <w:rsid w:val="00730DAF"/>
    <w:rsid w:val="007340D4"/>
    <w:rsid w:val="00734410"/>
    <w:rsid w:val="00735E06"/>
    <w:rsid w:val="007360C4"/>
    <w:rsid w:val="0074075F"/>
    <w:rsid w:val="0074299F"/>
    <w:rsid w:val="007454B1"/>
    <w:rsid w:val="007501CB"/>
    <w:rsid w:val="007509F9"/>
    <w:rsid w:val="00750A2C"/>
    <w:rsid w:val="007515AE"/>
    <w:rsid w:val="00757406"/>
    <w:rsid w:val="00757EBD"/>
    <w:rsid w:val="0076315A"/>
    <w:rsid w:val="00767E5E"/>
    <w:rsid w:val="007759B6"/>
    <w:rsid w:val="00775D13"/>
    <w:rsid w:val="00776F3D"/>
    <w:rsid w:val="00780990"/>
    <w:rsid w:val="00784469"/>
    <w:rsid w:val="00784CDD"/>
    <w:rsid w:val="007873A4"/>
    <w:rsid w:val="00791325"/>
    <w:rsid w:val="00791896"/>
    <w:rsid w:val="00791EC6"/>
    <w:rsid w:val="0079267E"/>
    <w:rsid w:val="007937E9"/>
    <w:rsid w:val="007A1E78"/>
    <w:rsid w:val="007A2970"/>
    <w:rsid w:val="007A4B08"/>
    <w:rsid w:val="007A5668"/>
    <w:rsid w:val="007A5A5D"/>
    <w:rsid w:val="007A5B9F"/>
    <w:rsid w:val="007B21DC"/>
    <w:rsid w:val="007B27D2"/>
    <w:rsid w:val="007B28BF"/>
    <w:rsid w:val="007B2E80"/>
    <w:rsid w:val="007B2F37"/>
    <w:rsid w:val="007B394F"/>
    <w:rsid w:val="007B740E"/>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62D"/>
    <w:rsid w:val="008827F1"/>
    <w:rsid w:val="0088570D"/>
    <w:rsid w:val="008977A6"/>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578B"/>
    <w:rsid w:val="008D59C3"/>
    <w:rsid w:val="008D7FE8"/>
    <w:rsid w:val="008E3612"/>
    <w:rsid w:val="008E3B09"/>
    <w:rsid w:val="008E4A6B"/>
    <w:rsid w:val="008E4D5A"/>
    <w:rsid w:val="008E6D71"/>
    <w:rsid w:val="008F0EF5"/>
    <w:rsid w:val="008F1241"/>
    <w:rsid w:val="008F2484"/>
    <w:rsid w:val="008F387D"/>
    <w:rsid w:val="009005A1"/>
    <w:rsid w:val="009036DE"/>
    <w:rsid w:val="00905123"/>
    <w:rsid w:val="0090579E"/>
    <w:rsid w:val="00905F07"/>
    <w:rsid w:val="0091064A"/>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700"/>
    <w:rsid w:val="009F4127"/>
    <w:rsid w:val="009F427D"/>
    <w:rsid w:val="009F565D"/>
    <w:rsid w:val="009F6070"/>
    <w:rsid w:val="00A00C9E"/>
    <w:rsid w:val="00A0121A"/>
    <w:rsid w:val="00A0456A"/>
    <w:rsid w:val="00A04ADD"/>
    <w:rsid w:val="00A05CFE"/>
    <w:rsid w:val="00A11032"/>
    <w:rsid w:val="00A117CE"/>
    <w:rsid w:val="00A12DB6"/>
    <w:rsid w:val="00A16113"/>
    <w:rsid w:val="00A17B72"/>
    <w:rsid w:val="00A2020B"/>
    <w:rsid w:val="00A20498"/>
    <w:rsid w:val="00A20CA1"/>
    <w:rsid w:val="00A21361"/>
    <w:rsid w:val="00A21E4C"/>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40DC"/>
    <w:rsid w:val="00A853AF"/>
    <w:rsid w:val="00A854A2"/>
    <w:rsid w:val="00A87456"/>
    <w:rsid w:val="00A90767"/>
    <w:rsid w:val="00A90E8E"/>
    <w:rsid w:val="00A91F48"/>
    <w:rsid w:val="00A93307"/>
    <w:rsid w:val="00A936F1"/>
    <w:rsid w:val="00AA009A"/>
    <w:rsid w:val="00AB0E85"/>
    <w:rsid w:val="00AB154E"/>
    <w:rsid w:val="00AB281F"/>
    <w:rsid w:val="00AB3943"/>
    <w:rsid w:val="00AB3DCA"/>
    <w:rsid w:val="00AC028C"/>
    <w:rsid w:val="00AC4313"/>
    <w:rsid w:val="00AC52E8"/>
    <w:rsid w:val="00AC61DD"/>
    <w:rsid w:val="00AC76D6"/>
    <w:rsid w:val="00AD0EB1"/>
    <w:rsid w:val="00AD4010"/>
    <w:rsid w:val="00AD547D"/>
    <w:rsid w:val="00AD5C87"/>
    <w:rsid w:val="00AD6FF7"/>
    <w:rsid w:val="00AE2691"/>
    <w:rsid w:val="00AE4A9E"/>
    <w:rsid w:val="00AE6CCF"/>
    <w:rsid w:val="00AF36D8"/>
    <w:rsid w:val="00AF3F14"/>
    <w:rsid w:val="00AF4F50"/>
    <w:rsid w:val="00AF5903"/>
    <w:rsid w:val="00AF6C50"/>
    <w:rsid w:val="00B0225D"/>
    <w:rsid w:val="00B03E58"/>
    <w:rsid w:val="00B054FC"/>
    <w:rsid w:val="00B07049"/>
    <w:rsid w:val="00B11B79"/>
    <w:rsid w:val="00B11E97"/>
    <w:rsid w:val="00B12075"/>
    <w:rsid w:val="00B12E66"/>
    <w:rsid w:val="00B15DFD"/>
    <w:rsid w:val="00B16AD8"/>
    <w:rsid w:val="00B201BC"/>
    <w:rsid w:val="00B2155C"/>
    <w:rsid w:val="00B23A6D"/>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3B85"/>
    <w:rsid w:val="00B94564"/>
    <w:rsid w:val="00B9613E"/>
    <w:rsid w:val="00B96703"/>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09EB"/>
    <w:rsid w:val="00C92557"/>
    <w:rsid w:val="00C9265F"/>
    <w:rsid w:val="00C9391F"/>
    <w:rsid w:val="00C94BDF"/>
    <w:rsid w:val="00C94E44"/>
    <w:rsid w:val="00CA0294"/>
    <w:rsid w:val="00CA1CBB"/>
    <w:rsid w:val="00CA533E"/>
    <w:rsid w:val="00CA5BB0"/>
    <w:rsid w:val="00CA6DB9"/>
    <w:rsid w:val="00CA6FFD"/>
    <w:rsid w:val="00CB30FF"/>
    <w:rsid w:val="00CB37AC"/>
    <w:rsid w:val="00CB5185"/>
    <w:rsid w:val="00CB6342"/>
    <w:rsid w:val="00CB76F5"/>
    <w:rsid w:val="00CB7849"/>
    <w:rsid w:val="00CB790F"/>
    <w:rsid w:val="00CB793B"/>
    <w:rsid w:val="00CC28BF"/>
    <w:rsid w:val="00CC3259"/>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65F"/>
    <w:rsid w:val="00D1133B"/>
    <w:rsid w:val="00D11706"/>
    <w:rsid w:val="00D12470"/>
    <w:rsid w:val="00D13EC9"/>
    <w:rsid w:val="00D15727"/>
    <w:rsid w:val="00D20299"/>
    <w:rsid w:val="00D2302C"/>
    <w:rsid w:val="00D301A4"/>
    <w:rsid w:val="00D3109D"/>
    <w:rsid w:val="00D34719"/>
    <w:rsid w:val="00D362DB"/>
    <w:rsid w:val="00D36302"/>
    <w:rsid w:val="00D40F18"/>
    <w:rsid w:val="00D42D0C"/>
    <w:rsid w:val="00D50538"/>
    <w:rsid w:val="00D52020"/>
    <w:rsid w:val="00D520ED"/>
    <w:rsid w:val="00D53AE2"/>
    <w:rsid w:val="00D5448C"/>
    <w:rsid w:val="00D560AE"/>
    <w:rsid w:val="00D60487"/>
    <w:rsid w:val="00D61471"/>
    <w:rsid w:val="00D6342F"/>
    <w:rsid w:val="00D67BA8"/>
    <w:rsid w:val="00D7021C"/>
    <w:rsid w:val="00D70C32"/>
    <w:rsid w:val="00D71E90"/>
    <w:rsid w:val="00D73389"/>
    <w:rsid w:val="00D74787"/>
    <w:rsid w:val="00D75B8E"/>
    <w:rsid w:val="00D77404"/>
    <w:rsid w:val="00D77C3A"/>
    <w:rsid w:val="00D77FBE"/>
    <w:rsid w:val="00D816DD"/>
    <w:rsid w:val="00D83576"/>
    <w:rsid w:val="00D8462C"/>
    <w:rsid w:val="00D85C5C"/>
    <w:rsid w:val="00D9003B"/>
    <w:rsid w:val="00D90931"/>
    <w:rsid w:val="00D94677"/>
    <w:rsid w:val="00D96985"/>
    <w:rsid w:val="00D97F7E"/>
    <w:rsid w:val="00DA3EDC"/>
    <w:rsid w:val="00DA460A"/>
    <w:rsid w:val="00DA61DF"/>
    <w:rsid w:val="00DB0124"/>
    <w:rsid w:val="00DB01C1"/>
    <w:rsid w:val="00DB04E1"/>
    <w:rsid w:val="00DB3D0C"/>
    <w:rsid w:val="00DB6BDC"/>
    <w:rsid w:val="00DC0BCD"/>
    <w:rsid w:val="00DC13BB"/>
    <w:rsid w:val="00DC48CE"/>
    <w:rsid w:val="00DC5269"/>
    <w:rsid w:val="00DC585C"/>
    <w:rsid w:val="00DD079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E027D5"/>
    <w:rsid w:val="00E03E59"/>
    <w:rsid w:val="00E05DAB"/>
    <w:rsid w:val="00E07160"/>
    <w:rsid w:val="00E10456"/>
    <w:rsid w:val="00E14448"/>
    <w:rsid w:val="00E14A8C"/>
    <w:rsid w:val="00E16CF4"/>
    <w:rsid w:val="00E21635"/>
    <w:rsid w:val="00E218F5"/>
    <w:rsid w:val="00E21E63"/>
    <w:rsid w:val="00E22588"/>
    <w:rsid w:val="00E23DC1"/>
    <w:rsid w:val="00E309AB"/>
    <w:rsid w:val="00E32230"/>
    <w:rsid w:val="00E3345F"/>
    <w:rsid w:val="00E35FC0"/>
    <w:rsid w:val="00E465BA"/>
    <w:rsid w:val="00E47D19"/>
    <w:rsid w:val="00E52097"/>
    <w:rsid w:val="00E53608"/>
    <w:rsid w:val="00E5641F"/>
    <w:rsid w:val="00E564A1"/>
    <w:rsid w:val="00E56639"/>
    <w:rsid w:val="00E6162E"/>
    <w:rsid w:val="00E6187C"/>
    <w:rsid w:val="00E6322F"/>
    <w:rsid w:val="00E642D1"/>
    <w:rsid w:val="00E64DBD"/>
    <w:rsid w:val="00E7227E"/>
    <w:rsid w:val="00E735C7"/>
    <w:rsid w:val="00E7397B"/>
    <w:rsid w:val="00E73A95"/>
    <w:rsid w:val="00E765F0"/>
    <w:rsid w:val="00E77ADE"/>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0FAD"/>
    <w:rsid w:val="00F11A2C"/>
    <w:rsid w:val="00F11B18"/>
    <w:rsid w:val="00F11DE5"/>
    <w:rsid w:val="00F13239"/>
    <w:rsid w:val="00F13765"/>
    <w:rsid w:val="00F15725"/>
    <w:rsid w:val="00F16BF1"/>
    <w:rsid w:val="00F17C9D"/>
    <w:rsid w:val="00F20FBB"/>
    <w:rsid w:val="00F21D1B"/>
    <w:rsid w:val="00F227A0"/>
    <w:rsid w:val="00F25C99"/>
    <w:rsid w:val="00F26D1E"/>
    <w:rsid w:val="00F332EC"/>
    <w:rsid w:val="00F34B68"/>
    <w:rsid w:val="00F369BF"/>
    <w:rsid w:val="00F4002E"/>
    <w:rsid w:val="00F403D5"/>
    <w:rsid w:val="00F44CA4"/>
    <w:rsid w:val="00F455CE"/>
    <w:rsid w:val="00F462EC"/>
    <w:rsid w:val="00F472BC"/>
    <w:rsid w:val="00F47414"/>
    <w:rsid w:val="00F47792"/>
    <w:rsid w:val="00F47A83"/>
    <w:rsid w:val="00F50779"/>
    <w:rsid w:val="00F51528"/>
    <w:rsid w:val="00F51F95"/>
    <w:rsid w:val="00F532A5"/>
    <w:rsid w:val="00F5436F"/>
    <w:rsid w:val="00F56F09"/>
    <w:rsid w:val="00F60974"/>
    <w:rsid w:val="00F62832"/>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6452"/>
    <w:rsid w:val="00FE13B5"/>
    <w:rsid w:val="00FE149C"/>
    <w:rsid w:val="00FE2566"/>
    <w:rsid w:val="00FE51AE"/>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4:docId w14:val="3EC569C3"/>
  <w15:docId w15:val="{D834E1A0-8F44-4FF3-A3A1-55F0767F9C9A}"/>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rPrDefault>
      <w:rPr>
        <w:rFonts w:ascii="Times New Roman" w:hAnsi="Times New Roman" w:cs="Times New Roman" w:eastAsia="Times New Roman"/>
        <w:lang w:val="bg"/>
      </w:rPr>
    </w:r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28E"/>
    <w:rPr>
      <w:snapToGrid w:val="0"/>
    </w:rPr>
  </w:style>
  <w:style w:type="paragraph" w:styleId="Heading1">
    <w:name w:val="heading 1"/>
    <w:basedOn w:val="Normal"/>
    <w:next w:val="Text1"/>
    <w:qFormat/>
    <w:rsid w:val="0012428E"/>
    <w:pPr>
      <w:keepNext/>
      <w:numPr>
        <w:numId w:val="16"/>
      </w:numPr>
      <w:spacing w:before="240" w:after="240"/>
      <w:jc w:val="both"/>
      <w:outlineLvl w:val="0"/>
    </w:pPr>
    <w:rPr>
      <w:b/>
      <w:smallCaps/>
      <w:sz w:val="24"/>
    </w:rPr>
  </w:style>
  <w:style w:type="paragraph" w:styleId="Heading2">
    <w:name w:val="heading 2"/>
    <w:basedOn w:val="Normal"/>
    <w:next w:val="Text2"/>
    <w:qFormat/>
    <w:rsid w:val="0012428E"/>
    <w:pPr>
      <w:keepNext/>
      <w:numPr>
        <w:ilvl w:val="1"/>
        <w:numId w:val="16"/>
      </w:numPr>
      <w:spacing w:after="240"/>
      <w:jc w:val="both"/>
      <w:outlineLvl w:val="1"/>
    </w:pPr>
    <w:rPr>
      <w:b/>
      <w:sz w:val="24"/>
    </w:rPr>
  </w:style>
  <w:style w:type="paragraph" w:styleId="Heading3">
    <w:name w:val="heading 3"/>
    <w:basedOn w:val="Normal"/>
    <w:next w:val="Text3"/>
    <w:qFormat/>
    <w:rsid w:val="0012428E"/>
    <w:pPr>
      <w:keepNext/>
      <w:numPr>
        <w:ilvl w:val="2"/>
        <w:numId w:val="16"/>
      </w:numPr>
      <w:spacing w:after="240"/>
      <w:jc w:val="both"/>
      <w:outlineLvl w:val="2"/>
    </w:pPr>
    <w:rPr>
      <w:i/>
      <w:sz w:val="24"/>
    </w:rPr>
  </w:style>
  <w:style w:type="paragraph" w:styleId="Heading4">
    <w:name w:val="heading 4"/>
    <w:basedOn w:val="Normal"/>
    <w:next w:val="Text4"/>
    <w:link w:val="Heading4Char"/>
    <w:uiPriority w:val="9"/>
    <w:qFormat/>
    <w:rsid w:val="0012428E"/>
    <w:pPr>
      <w:keepNext/>
      <w:spacing w:after="240"/>
      <w:jc w:val="both"/>
      <w:outlineLvl w:val="3"/>
    </w:pPr>
    <w:rPr>
      <w:sz w:val="24"/>
    </w:rPr>
  </w:style>
  <w:style w:type="paragraph" w:styleId="Heading5">
    <w:name w:val="heading 5"/>
    <w:basedOn w:val="Normal"/>
    <w:next w:val="Normal"/>
    <w:qFormat/>
    <w:rsid w:val="0012428E"/>
    <w:pPr>
      <w:numPr>
        <w:ilvl w:val="4"/>
        <w:numId w:val="16"/>
      </w:numPr>
      <w:spacing w:before="240" w:after="60"/>
      <w:jc w:val="both"/>
      <w:outlineLvl w:val="4"/>
    </w:pPr>
    <w:rPr>
      <w:rFonts w:ascii="Arial" w:hAnsi="Arial"/>
      <w:sz w:val="22"/>
    </w:rPr>
  </w:style>
  <w:style w:type="paragraph" w:styleId="Heading6">
    <w:name w:val="heading 6"/>
    <w:basedOn w:val="Normal"/>
    <w:next w:val="Normal"/>
    <w:qFormat/>
    <w:rsid w:val="0012428E"/>
    <w:pPr>
      <w:numPr>
        <w:ilvl w:val="5"/>
        <w:numId w:val="16"/>
      </w:numPr>
      <w:spacing w:before="240" w:after="60"/>
      <w:jc w:val="both"/>
      <w:outlineLvl w:val="5"/>
    </w:pPr>
    <w:rPr>
      <w:rFonts w:ascii="Arial" w:hAnsi="Arial"/>
      <w:i/>
      <w:sz w:val="22"/>
    </w:rPr>
  </w:style>
  <w:style w:type="paragraph" w:styleId="Heading7">
    <w:name w:val="heading 7"/>
    <w:basedOn w:val="Normal"/>
    <w:next w:val="Normal"/>
    <w:qFormat/>
    <w:rsid w:val="0012428E"/>
    <w:pPr>
      <w:numPr>
        <w:ilvl w:val="6"/>
        <w:numId w:val="16"/>
      </w:numPr>
      <w:spacing w:before="240" w:after="60"/>
      <w:jc w:val="both"/>
      <w:outlineLvl w:val="6"/>
    </w:pPr>
    <w:rPr>
      <w:rFonts w:ascii="Arial" w:hAnsi="Arial"/>
    </w:rPr>
  </w:style>
  <w:style w:type="paragraph" w:styleId="Heading8">
    <w:name w:val="heading 8"/>
    <w:basedOn w:val="Normal"/>
    <w:next w:val="Normal"/>
    <w:qFormat/>
    <w:rsid w:val="0012428E"/>
    <w:pPr>
      <w:numPr>
        <w:ilvl w:val="7"/>
        <w:numId w:val="16"/>
      </w:numPr>
      <w:spacing w:before="240" w:after="60"/>
      <w:jc w:val="both"/>
      <w:outlineLvl w:val="7"/>
    </w:pPr>
    <w:rPr>
      <w:rFonts w:ascii="Arial" w:hAnsi="Arial"/>
      <w:i/>
    </w:rPr>
  </w:style>
  <w:style w:type="paragraph" w:styleId="Heading9">
    <w:name w:val="heading 9"/>
    <w:basedOn w:val="Normal"/>
    <w:next w:val="Normal"/>
    <w:qFormat/>
    <w:rsid w:val="0012428E"/>
    <w:pPr>
      <w:numPr>
        <w:ilvl w:val="8"/>
        <w:numId w:val="16"/>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rsid w:val="0012428E"/>
    <w:pPr>
      <w:spacing w:after="240"/>
      <w:ind w:left="483"/>
      <w:jc w:val="both"/>
    </w:pPr>
    <w:rPr>
      <w:sz w:val="24"/>
    </w:rPr>
  </w:style>
  <w:style w:type="paragraph" w:customStyle="1" w:styleId="Text2">
    <w:name w:val="Text 2"/>
    <w:basedOn w:val="Normal"/>
    <w:rsid w:val="0012428E"/>
    <w:pPr>
      <w:tabs>
        <w:tab w:val="left" w:pos="2161"/>
      </w:tabs>
      <w:spacing w:after="240"/>
      <w:ind w:left="1077"/>
      <w:jc w:val="both"/>
    </w:pPr>
    <w:rPr>
      <w:sz w:val="24"/>
    </w:rPr>
  </w:style>
  <w:style w:type="paragraph" w:customStyle="1" w:styleId="Text3">
    <w:name w:val="Text 3"/>
    <w:basedOn w:val="Normal"/>
    <w:rsid w:val="0012428E"/>
    <w:pPr>
      <w:tabs>
        <w:tab w:val="left" w:pos="2302"/>
      </w:tabs>
      <w:spacing w:after="240"/>
      <w:ind w:left="1917"/>
      <w:jc w:val="both"/>
    </w:pPr>
    <w:rPr>
      <w:sz w:val="24"/>
    </w:rPr>
  </w:style>
  <w:style w:type="paragraph" w:customStyle="1" w:styleId="Text4">
    <w:name w:val="Text 4"/>
    <w:basedOn w:val="Normal"/>
    <w:rsid w:val="0012428E"/>
    <w:pPr>
      <w:spacing w:after="240"/>
      <w:ind w:left="2880"/>
      <w:jc w:val="both"/>
    </w:pPr>
    <w:rPr>
      <w:sz w:val="24"/>
    </w:rPr>
  </w:style>
  <w:style w:type="paragraph" w:styleId="Title">
    <w:name w:val="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sid w:val="0012428E"/>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
    <w:basedOn w:val="Normal"/>
    <w:link w:val="BodyTextChar"/>
    <w:rsid w:val="0012428E"/>
    <w:pPr>
      <w:jc w:val="both"/>
    </w:pPr>
    <w:rPr>
      <w:sz w:val="24"/>
    </w:rPr>
  </w:style>
  <w:style w:type="paragraph" w:styleId="FootnoteText">
    <w:name w:val="footnote text"/>
    <w:basedOn w:val="Normal"/>
    <w:semiHidden/>
    <w:rsid w:val="0012428E"/>
    <w:pPr>
      <w:spacing w:after="240"/>
      <w:ind w:left="357" w:hanging="357"/>
      <w:jc w:val="both"/>
    </w:pPr>
  </w:style>
  <w:style w:type="character" w:styleId="PageNumber">
    <w:name w:val="page number"/>
    <w:rsid w:val="0012428E"/>
    <w:rPr>
      <w:rFonts w:cs="Times New Roman"/>
    </w:rPr>
  </w:style>
  <w:style w:type="paragraph" w:styleId="Header">
    <w:name w:val="header"/>
    <w:basedOn w:val="Normal"/>
    <w:rsid w:val="0012428E"/>
    <w:pPr>
      <w:tabs>
        <w:tab w:val="center" w:pos="4153"/>
        <w:tab w:val="right" w:pos="8306"/>
      </w:tabs>
      <w:spacing w:after="240"/>
      <w:jc w:val="both"/>
    </w:pPr>
    <w:rPr>
      <w:sz w:val="24"/>
    </w:rPr>
  </w:style>
  <w:style w:type="paragraph" w:styleId="Footer">
    <w:name w:val="footer"/>
    <w:basedOn w:val="Normal"/>
    <w:rsid w:val="0012428E"/>
    <w:pPr>
      <w:tabs>
        <w:tab w:val="center" w:pos="4153"/>
        <w:tab w:val="right" w:pos="8306"/>
      </w:tabs>
    </w:pPr>
  </w:style>
  <w:style w:type="paragraph" w:customStyle="1" w:styleId="Blockquote">
    <w:name w:val="Blockquote"/>
    <w:basedOn w:val="Normal"/>
    <w:rsid w:val="0012428E"/>
    <w:pPr>
      <w:spacing w:before="100" w:after="100"/>
      <w:ind w:left="360" w:right="360"/>
    </w:pPr>
    <w:rPr>
      <w:snapToGrid/>
      <w:sz w:val="24"/>
    </w:rPr>
  </w:style>
  <w:style w:type="character" w:styleId="Emphasis">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Strong">
    <w:name w:val="Strong"/>
    <w:uiPriority w:val="22"/>
    <w:qFormat/>
    <w:rsid w:val="0012428E"/>
    <w:rPr>
      <w:rFonts w:cs="Times New Roman"/>
      <w:b/>
    </w:rPr>
  </w:style>
  <w:style w:type="paragraph" w:customStyle="1" w:styleId="ZCom">
    <w:name w:val="Z_Com"/>
    <w:basedOn w:val="Normal"/>
    <w:next w:val="Normal"/>
    <w:rsid w:val="0012428E"/>
    <w:pPr>
      <w:widowControl w:val="0"/>
      <w:ind w:right="85"/>
      <w:jc w:val="both"/>
    </w:pPr>
    <w:rPr>
      <w:rFonts w:ascii="Arial" w:hAnsi="Arial"/>
      <w:snapToGrid/>
      <w:sz w:val="24"/>
    </w:rPr>
  </w:style>
  <w:style w:type="paragraph" w:styleId="DocumentMap">
    <w:name w:val="Document Map"/>
    <w:basedOn w:val="Normal"/>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color w:val="008000"/>
    </w:rPr>
  </w:style>
  <w:style w:type="character" w:customStyle="1" w:styleId="tw4winJump">
    <w:name w:val="tw4winJump"/>
    <w:rsid w:val="0012428E"/>
    <w:rPr>
      <w:color w:val="008080"/>
    </w:rPr>
  </w:style>
  <w:style w:type="character" w:customStyle="1" w:styleId="tw4winExternal">
    <w:name w:val="tw4winExternal"/>
    <w:rsid w:val="0012428E"/>
    <w:rPr>
      <w:color w:val="808080"/>
    </w:rPr>
  </w:style>
  <w:style w:type="character" w:customStyle="1" w:styleId="tw4winInternal">
    <w:name w:val="tw4winInternal"/>
    <w:rsid w:val="0012428E"/>
    <w:rPr>
      <w:color w:val="FF0000"/>
    </w:rPr>
  </w:style>
  <w:style w:type="character" w:customStyle="1" w:styleId="DONOTTRANSLATE">
    <w:name w:val="DO_NOT_TRANSLATE"/>
    <w:rsid w:val="0012428E"/>
    <w:rPr>
      <w:color w:val="800000"/>
    </w:rPr>
  </w:style>
  <w:style w:type="paragraph" w:styleId="BalloonText">
    <w:name w:val="Balloon Text"/>
    <w:basedOn w:val="Normal"/>
    <w:semiHidden/>
    <w:rsid w:val="00FD6452"/>
    <w:rPr>
      <w:rFonts w:ascii="Tahoma" w:hAnsi="Tahoma" w:cs="Tahoma"/>
      <w:sz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rPr>
  </w:style>
  <w:style w:type="character" w:styleId="CommentReference">
    <w:name w:val="annotation reference"/>
    <w:rsid w:val="00FB10DF"/>
    <w:rPr>
      <w:sz w:val="16"/>
    </w:rPr>
  </w:style>
  <w:style w:type="paragraph" w:styleId="CommentText">
    <w:name w:val="annotation text"/>
    <w:basedOn w:val="Normal"/>
    <w:link w:val="CommentTextChar"/>
    <w:rsid w:val="00FB10DF"/>
  </w:style>
  <w:style w:type="character" w:customStyle="1" w:styleId="CommentTextChar">
    <w:name w:val="Comment Text Char"/>
    <w:link w:val="CommentText"/>
    <w:rsid w:val="00FB10DF"/>
    <w:rPr>
      <w:snapToGrid w:val="0"/>
    </w:rPr>
  </w:style>
  <w:style w:type="paragraph" w:styleId="CommentSubject">
    <w:name w:val="annotation subject"/>
    <w:basedOn w:val="CommentText"/>
    <w:next w:val="CommentText"/>
    <w:link w:val="CommentSubjectChar"/>
    <w:rsid w:val="00FB10DF"/>
    <w:rPr>
      <w:b/>
    </w:rPr>
  </w:style>
  <w:style w:type="character" w:customStyle="1" w:styleId="CommentSubjectChar">
    <w:name w:val="Comment Subject Char"/>
    <w:link w:val="CommentSubject"/>
    <w:rsid w:val="00FB10DF"/>
    <w:rPr>
      <w:b/>
      <w:snapToGrid w:val="0"/>
    </w:rPr>
  </w:style>
  <w:style w:type="paragraph" w:styleId="EndnoteText">
    <w:name w:val="endnote text"/>
    <w:basedOn w:val="Normal"/>
    <w:link w:val="EndnoteTextChar"/>
    <w:rsid w:val="002E24F7"/>
  </w:style>
  <w:style w:type="character" w:customStyle="1" w:styleId="EndnoteTextChar">
    <w:name w:val="Endnote Text Char"/>
    <w:link w:val="EndnoteText"/>
    <w:rsid w:val="002E24F7"/>
    <w:rPr>
      <w:snapToGrid w:val="0"/>
    </w:rPr>
  </w:style>
  <w:style w:type="character" w:styleId="EndnoteReference">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hAnsi="Calibri" w:cs="Calibri" w:eastAsia="SimSun"/>
      <w:snapToGrid/>
      <w:sz w:val="22"/>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rPr>
  </w:style>
  <w:style w:type="paragraph" w:customStyle="1" w:styleId="paragraph">
    <w:name w:val="paragraph"/>
    <w:basedOn w:val="Normal"/>
    <w:link w:val="paragraphChar"/>
    <w:qFormat/>
    <w:rsid w:val="00B94564"/>
    <w:pPr>
      <w:numPr>
        <w:ilvl w:val="1"/>
        <w:numId w:val="7"/>
      </w:numPr>
      <w:ind w:left="567" w:hanging="567"/>
      <w:jc w:val="both"/>
    </w:pPr>
    <w:rPr>
      <w:sz w:val="24"/>
    </w:rPr>
  </w:style>
  <w:style w:type="character" w:customStyle="1" w:styleId="paragraphChar">
    <w:name w:val="paragraph Char"/>
    <w:link w:val="paragraph"/>
    <w:rsid w:val="00B94564"/>
    <w:rPr>
      <w:snapToGrid w:val="0"/>
      <w:sz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Revision">
    <w:name w:val="Revision"/>
    <w:hidden/>
    <w:uiPriority w:val="99"/>
    <w:semiHidden/>
    <w:rsid w:val="003E0B5C"/>
    <w:rPr>
      <w:snapToGrid w:val="0"/>
    </w:rPr>
  </w:style>
  <w:style w:type="paragraph" w:customStyle="1" w:styleId="StyleListBulletListBulletJustifiedLeft">
    <w:name w:val="Style List BulletList Bullet Justified + Left"/>
    <w:basedOn w:val="Normal"/>
    <w:rsid w:val="007F0522"/>
    <w:pPr>
      <w:numPr>
        <w:numId w:val="10"/>
      </w:numPr>
      <w:spacing w:before="80" w:after="80"/>
    </w:pPr>
    <w:rPr>
      <w:rFonts w:ascii="Verdana" w:hAnsi="Verdana"/>
      <w:snapToGrid/>
      <w:color w:val="333333"/>
    </w:rPr>
  </w:style>
  <w:style w:type="paragraph" w:styleId="ListParagraph">
    <w:name w:val="List Paragraph"/>
    <w:basedOn w:val="Normal"/>
    <w:link w:val="ListParagraphChar"/>
    <w:uiPriority w:val="34"/>
    <w:qFormat/>
    <w:rsid w:val="007F0522"/>
    <w:pPr>
      <w:ind w:left="720"/>
      <w:contextualSpacing/>
    </w:pPr>
  </w:style>
  <w:style w:type="character" w:styleId="FollowedHyperlink">
    <w:name w:val="FollowedHyperlink"/>
    <w:basedOn w:val="DefaultParagraphFont"/>
    <w:semiHidden/>
    <w:unhideWhenUsed/>
    <w:rsid w:val="00203BA2"/>
    <w:rPr>
      <w:color w:val="800080" w:themeColor="followedHyperlink"/>
      <w:u w:val="single"/>
    </w:rPr>
  </w:style>
  <w:style w:type="character" w:customStyle="1" w:styleId="Heading4Char">
    <w:name w:val="Heading 4 Char"/>
    <w:basedOn w:val="DefaultParagraphFont"/>
    <w:link w:val="Heading4"/>
    <w:uiPriority w:val="9"/>
    <w:rsid w:val="00D816DD"/>
    <w:rPr>
      <w:snapToGrid w:val="0"/>
      <w:sz w:val="24"/>
    </w:rPr>
  </w:style>
  <w:style w:type="paragraph" w:customStyle="1" w:styleId="Default">
    <w:name w:val="Default"/>
    <w:rsid w:val="00B96703"/>
    <w:pPr>
      <w:autoSpaceDE w:val="0"/>
      <w:autoSpaceDN w:val="0"/>
      <w:adjustRightInd w:val="0"/>
    </w:pPr>
    <w:rPr>
      <w:color w:val="000000"/>
      <w:sz w:val="24"/>
    </w:rPr>
  </w:style>
  <w:style w:type="character" w:customStyle="1" w:styleId="ListParagraphChar">
    <w:name w:val="List Paragraph Char"/>
    <w:link w:val="ListParagraph"/>
    <w:uiPriority w:val="34"/>
    <w:rsid w:val="0040237B"/>
    <w:rPr>
      <w:snapToGrid w:val="0"/>
    </w:rPr>
  </w:style>
  <w:style w:type="paragraph" w:styleId="P68B1DB1-Normal1">
    <w:name w:val="P68B1DB1-Normal1"/>
    <w:basedOn w:val="Normal"/>
    <w:rPr>
      <w:b/>
      <w:sz w:val="23"/>
    </w:rPr>
  </w:style>
  <w:style w:type="paragraph" w:styleId="P68B1DB1-Normal2">
    <w:name w:val="P68B1DB1-Normal2"/>
    <w:basedOn w:val="Normal"/>
    <w:rPr>
      <w:sz w:val="24"/>
    </w:rPr>
  </w:style>
  <w:style w:type="paragraph" w:styleId="P68B1DB1-Normal3">
    <w:name w:val="P68B1DB1-Normal3"/>
    <w:basedOn w:val="Normal"/>
    <w:rPr>
      <w:sz w:val="24"/>
      <w:highlight w:val="yellow"/>
    </w:rPr>
  </w:style>
  <w:style w:type="paragraph" w:styleId="P68B1DB1-Heading64">
    <w:name w:val="P68B1DB1-Heading64"/>
    <w:basedOn w:val="Heading6"/>
    <w:rPr>
      <w:rFonts w:ascii="Times New Roman Bold" w:hAnsi="Times New Roman Bold" w:cstheme="majorBidi" w:eastAsiaTheme="majorEastAsia"/>
      <w:b/>
      <w:i w:val="0"/>
      <w:caps/>
      <w:snapToGrid/>
      <w:sz w:val="24"/>
      <w:u w:val="single"/>
    </w:rPr>
  </w:style>
  <w:style w:type="paragraph" w:styleId="P68B1DB1-Default5">
    <w:name w:val="P68B1DB1-Default5"/>
    <w:basedOn w:val="Default"/>
    <w:rPr>
      <w:sz w:val="23"/>
    </w:rPr>
  </w:style>
  <w:style w:type="paragraph" w:styleId="P68B1DB1-Normal6">
    <w:name w:val="P68B1DB1-Normal6"/>
    <w:basedOn w:val="Normal"/>
    <w:rPr>
      <w:b/>
      <w:sz w:val="24"/>
    </w:rPr>
  </w:style>
  <w:style w:type="paragraph" w:styleId="P68B1DB1-Normal7">
    <w:name w:val="P68B1DB1-Normal7"/>
    <w:basedOn w:val="Normal"/>
    <w:rPr>
      <w:i/>
      <w:color w:val="4AA55B"/>
      <w:sz w:val="24"/>
    </w:rPr>
  </w:style>
  <w:style w:type="paragraph" w:styleId="P68B1DB1-Heading48">
    <w:name w:val="P68B1DB1-Heading48"/>
    <w:basedOn w:val="Heading4"/>
    <w:rPr>
      <w:b/>
      <w:caps/>
      <w:snapToGrid/>
    </w:rPr>
  </w:style>
  <w:style w:type="paragraph" w:styleId="P68B1DB1-ListParagraph9">
    <w:name w:val="P68B1DB1-ListParagraph9"/>
    <w:basedOn w:val="ListParagraph"/>
    <w:rPr>
      <w:sz w:val="24"/>
    </w:rPr>
  </w:style>
  <w:style w:type="paragraph" w:styleId="P68B1DB1-Heading410">
    <w:name w:val="P68B1DB1-Heading410"/>
    <w:basedOn w:val="Heading4"/>
    <w:rPr>
      <w:rFonts w:ascii="Times New Roman Bold" w:hAnsi="Times New Roman Bold" w:cstheme="majorBidi" w:eastAsiaTheme="majorEastAsia"/>
      <w:b/>
      <w:caps/>
      <w:snapToGrid/>
    </w:rPr>
  </w:style>
  <w:style w:type="paragraph" w:styleId="P68B1DB1-ListParagraph11">
    <w:name w:val="P68B1DB1-ListParagraph11"/>
    <w:basedOn w:val="ListParagraph"/>
    <w:rPr>
      <w:sz w:val="24"/>
      <w:highlight w:val="yellow"/>
    </w:rPr>
  </w:style>
  <w:style w:type="paragraph" w:styleId="P68B1DB1-ListParagraph12">
    <w:name w:val="P68B1DB1-ListParagraph12"/>
    <w:basedOn w:val="ListParagraph"/>
    <w:rPr>
      <w:highlight w:val="yellow"/>
    </w:rPr>
  </w:style>
  <w:style w:type="paragraph" w:styleId="P68B1DB1-Header13">
    <w:name w:val="P68B1DB1-Header13"/>
    <w:basedOn w:val="Header"/>
    <w:rPr>
      <w:rFonts w:ascii="Arial Narrow" w:hAnsi="Arial Narrow" w:cs="Arial"/>
      <w:sz w:val="18"/>
      <w:u w:val="single"/>
    </w:rPr>
  </w:style>
  <w:style w:type="paragraph" w:styleId="P68B1DB1-Footer14">
    <w:name w:val="P68B1DB1-Footer14"/>
    <w:basedOn w:val="Footer"/>
    <w:rPr>
      <w:rFonts w:ascii="Arial"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779be64a5bbff9ba07ba3a0e3f7831a8">
  <xsd:schema xmlns:xsd="http://www.w3.org/2001/XMLSchema" xmlns:xs="http://www.w3.org/2001/XMLSchema" xmlns:p="http://schemas.microsoft.com/office/2006/metadata/properties" xmlns:ns3="cfd06d9f-862c-4359-9a69-c66ff689f26a" targetNamespace="http://schemas.microsoft.com/office/2006/metadata/properties" ma:root="true" ma:fieldsID="85c5592081cb8b17b8ffe2176a8e06e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enumeration value="2027"/>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cfd06d9f-862c-4359-9a69-c66ff689f26a">2023</Year>
    <Leader_x0020__x0028_staff_x0020_member_x0029_ xmlns="cfd06d9f-862c-4359-9a69-c66ff689f26a" xsi:nil="true"/>
    <n7sw xmlns="cfd06d9f-862c-4359-9a69-c66ff689f26a">
      <UserInfo>
        <DisplayName/>
        <AccountId xsi:nil="true"/>
        <AccountType/>
      </UserInfo>
    </n7sw>
    <Final_x0020_date_x0020_of_x0020_delivery xmlns="cfd06d9f-862c-4359-9a69-c66ff689f26a" xsi:nil="true"/>
    <Leader_x0020__x0028_unit_x0029_ xmlns="cfd06d9f-862c-4359-9a69-c66ff689f26a" xsi:nil="true"/>
    <_x0070_gc6 xmlns="cfd06d9f-862c-4359-9a69-c66ff689f26a" xsi:nil="true"/>
    <Next_x0020_date_x0020_of_x0020_delivery xmlns="cfd06d9f-862c-4359-9a69-c66ff689f26a" xsi:nil="true"/>
    <Document xmlns="cfd06d9f-862c-4359-9a69-c66ff689f26a">E+ Grant agreements (annexes II + charters)</Documen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2.xml><?xml version="1.0" encoding="utf-8"?>
<ds:datastoreItem xmlns:ds="http://schemas.openxmlformats.org/officeDocument/2006/customXml" ds:itemID="{29D1B331-ED6F-4631-8571-6C91C4F6A5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87DA6-BF31-4C2D-8582-7F2E6639E9E1}">
  <ds:schemaRefs>
    <ds:schemaRef ds:uri="http://purl.org/dc/terms/"/>
    <ds:schemaRef ds:uri="cfd06d9f-862c-4359-9a69-c66ff689f26a"/>
    <ds:schemaRef ds:uri="http://schemas.microsoft.com/office/infopath/2007/PartnerControls"/>
    <ds:schemaRef ds:uri="http://schemas.microsoft.com/office/2006/documentManagement/types"/>
    <ds:schemaRef ds:uri="http://www.w3.org/XML/1998/namespace"/>
    <ds:schemaRef ds:uri="http://purl.org/dc/dcmitype/"/>
    <ds:schemaRef ds:uri="http://schemas.microsoft.com/office/2006/metadata/properti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008F8F88-F611-44FF-8F12-5D4063C0E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2459</Words>
  <Characters>14018</Characters>
  <Application>Microsoft Office Word</Application>
  <DocSecurity>0</DocSecurity>
  <Lines>116</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Annex V</vt:lpstr>
    </vt:vector>
  </TitlesOfParts>
  <Company>C.E.</Company>
  <LinksUpToDate>false</LinksUpToDate>
  <CharactersWithSpaces>16445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Lubomira Yaneva</cp:lastModifiedBy>
  <cp:revision>2</cp:revision>
  <cp:lastPrinted>2021-08-23T13:05:00Z</cp:lastPrinted>
  <dcterms:created xsi:type="dcterms:W3CDTF">2023-06-01T13:44:00Z</dcterms:created>
  <dcterms:modified xsi:type="dcterms:W3CDTF">2023-06-01T13:44:00Z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